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3F1E" w14:textId="3ECAED2A" w:rsidR="00B70758" w:rsidRPr="00747747" w:rsidRDefault="006F1564" w:rsidP="00007816">
      <w:pPr>
        <w:pStyle w:val="af4"/>
        <w:snapToGrid w:val="0"/>
        <w:spacing w:before="0" w:afterLines="50" w:after="180" w:line="400" w:lineRule="exact"/>
        <w:ind w:left="1"/>
        <w:rPr>
          <w:rFonts w:ascii="標楷體" w:eastAsia="標楷體" w:hAnsi="標楷體"/>
          <w:snapToGrid w:val="0"/>
          <w:sz w:val="28"/>
          <w:szCs w:val="28"/>
        </w:rPr>
      </w:pPr>
      <w:r w:rsidRPr="00747747">
        <w:rPr>
          <w:rFonts w:ascii="標楷體" w:eastAsia="標楷體" w:hAnsi="標楷體" w:hint="eastAsia"/>
          <w:snapToGrid w:val="0"/>
          <w:sz w:val="28"/>
          <w:szCs w:val="28"/>
        </w:rPr>
        <w:t>財</w:t>
      </w:r>
      <w:r w:rsidR="00B70758" w:rsidRPr="00747747">
        <w:rPr>
          <w:rFonts w:ascii="標楷體" w:eastAsia="標楷體" w:hAnsi="標楷體"/>
          <w:snapToGrid w:val="0"/>
          <w:sz w:val="28"/>
          <w:szCs w:val="28"/>
        </w:rPr>
        <w:t>團法人中華民國證券櫃檯買賣中心指數股票型基金受益憑證買賣辦法</w:t>
      </w:r>
      <w:r w:rsidR="00007816">
        <w:rPr>
          <w:rFonts w:ascii="標楷體" w:eastAsia="標楷體" w:hAnsi="標楷體"/>
          <w:snapToGrid w:val="0"/>
          <w:sz w:val="28"/>
          <w:szCs w:val="28"/>
        </w:rPr>
        <w:br/>
      </w:r>
      <w:r w:rsidR="000848B5" w:rsidRPr="00747747">
        <w:rPr>
          <w:rFonts w:ascii="標楷體" w:eastAsia="標楷體" w:hAnsi="標楷體" w:hint="eastAsia"/>
          <w:snapToGrid w:val="0"/>
          <w:sz w:val="28"/>
          <w:szCs w:val="28"/>
        </w:rPr>
        <w:t>第十二條之</w:t>
      </w:r>
      <w:proofErr w:type="gramStart"/>
      <w:r w:rsidR="000848B5" w:rsidRPr="00747747">
        <w:rPr>
          <w:rFonts w:ascii="標楷體" w:eastAsia="標楷體" w:hAnsi="標楷體" w:hint="eastAsia"/>
          <w:snapToGrid w:val="0"/>
          <w:sz w:val="28"/>
          <w:szCs w:val="28"/>
        </w:rPr>
        <w:t>一</w:t>
      </w:r>
      <w:proofErr w:type="gramEnd"/>
      <w:r w:rsidR="00B70758" w:rsidRPr="00747747">
        <w:rPr>
          <w:rFonts w:ascii="標楷體" w:eastAsia="標楷體" w:hAnsi="標楷體" w:hint="eastAsia"/>
          <w:snapToGrid w:val="0"/>
          <w:sz w:val="28"/>
          <w:szCs w:val="28"/>
        </w:rPr>
        <w:t>修正條文對照</w:t>
      </w:r>
      <w:r w:rsidR="00AE5E89" w:rsidRPr="00747747">
        <w:rPr>
          <w:rFonts w:ascii="標楷體" w:eastAsia="標楷體" w:hAnsi="標楷體" w:hint="eastAsia"/>
          <w:snapToGrid w:val="0"/>
          <w:sz w:val="28"/>
          <w:szCs w:val="28"/>
        </w:rPr>
        <w:t>表</w:t>
      </w:r>
    </w:p>
    <w:tbl>
      <w:tblPr>
        <w:tblW w:w="9497" w:type="dxa"/>
        <w:tblInd w:w="12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65"/>
        <w:gridCol w:w="3166"/>
        <w:gridCol w:w="3166"/>
      </w:tblGrid>
      <w:tr w:rsidR="00C07BAE" w:rsidRPr="00C07BAE" w14:paraId="2B623C09" w14:textId="77777777" w:rsidTr="006B3236">
        <w:trPr>
          <w:tblHeader/>
        </w:trPr>
        <w:tc>
          <w:tcPr>
            <w:tcW w:w="3165" w:type="dxa"/>
            <w:vAlign w:val="center"/>
          </w:tcPr>
          <w:p w14:paraId="33AE17C6" w14:textId="41625FA0" w:rsidR="00C07BAE" w:rsidRPr="00C07BAE" w:rsidRDefault="00C07BAE" w:rsidP="00B70758">
            <w:pPr>
              <w:widowControl/>
              <w:jc w:val="center"/>
              <w:rPr>
                <w:rFonts w:ascii="Times New Roman" w:eastAsia="標楷體" w:hAnsi="Times New Roman" w:cs="新細明體"/>
                <w:b/>
                <w:bCs/>
                <w:sz w:val="24"/>
                <w:szCs w:val="24"/>
              </w:rPr>
            </w:pPr>
            <w:r w:rsidRPr="00C07BAE">
              <w:rPr>
                <w:rFonts w:ascii="Times New Roman" w:eastAsia="標楷體" w:hAnsi="Times New Roman" w:cs="新細明體" w:hint="eastAsia"/>
                <w:b/>
                <w:bCs/>
                <w:sz w:val="24"/>
                <w:szCs w:val="24"/>
              </w:rPr>
              <w:t>修正條文</w:t>
            </w:r>
          </w:p>
        </w:tc>
        <w:tc>
          <w:tcPr>
            <w:tcW w:w="3166" w:type="dxa"/>
            <w:vAlign w:val="center"/>
          </w:tcPr>
          <w:p w14:paraId="38D2D169" w14:textId="77777777" w:rsidR="00C07BAE" w:rsidRPr="00C07BAE" w:rsidRDefault="00C07BAE" w:rsidP="00791E26">
            <w:pPr>
              <w:widowControl/>
              <w:jc w:val="center"/>
              <w:rPr>
                <w:rFonts w:ascii="Times New Roman" w:eastAsia="標楷體" w:hAnsi="Times New Roman" w:cs="新細明體"/>
                <w:b/>
                <w:bCs/>
                <w:sz w:val="24"/>
                <w:szCs w:val="24"/>
              </w:rPr>
            </w:pPr>
            <w:r w:rsidRPr="00C07BAE">
              <w:rPr>
                <w:rFonts w:ascii="Times New Roman" w:eastAsia="標楷體" w:hAnsi="Times New Roman" w:cs="新細明體" w:hint="eastAsia"/>
                <w:b/>
                <w:bCs/>
                <w:sz w:val="24"/>
                <w:szCs w:val="24"/>
              </w:rPr>
              <w:t>現行條文</w:t>
            </w:r>
          </w:p>
        </w:tc>
        <w:tc>
          <w:tcPr>
            <w:tcW w:w="3166" w:type="dxa"/>
            <w:vAlign w:val="center"/>
          </w:tcPr>
          <w:p w14:paraId="62A9E926" w14:textId="77777777" w:rsidR="00C07BAE" w:rsidRPr="00C07BAE" w:rsidRDefault="00C07BAE" w:rsidP="00B70758">
            <w:pPr>
              <w:widowControl/>
              <w:jc w:val="center"/>
              <w:rPr>
                <w:rFonts w:ascii="Times New Roman" w:eastAsia="標楷體" w:hAnsi="Times New Roman" w:cs="新細明體"/>
                <w:b/>
                <w:bCs/>
                <w:sz w:val="24"/>
                <w:szCs w:val="24"/>
              </w:rPr>
            </w:pPr>
            <w:r w:rsidRPr="00C07BAE">
              <w:rPr>
                <w:rFonts w:ascii="Times New Roman" w:eastAsia="標楷體" w:hAnsi="Times New Roman" w:cs="新細明體" w:hint="eastAsia"/>
                <w:b/>
                <w:bCs/>
                <w:sz w:val="24"/>
                <w:szCs w:val="24"/>
              </w:rPr>
              <w:t>說明</w:t>
            </w:r>
          </w:p>
        </w:tc>
      </w:tr>
      <w:tr w:rsidR="00C07BAE" w:rsidRPr="00C07BAE" w14:paraId="05A85E6A" w14:textId="77777777" w:rsidTr="006B3236">
        <w:tc>
          <w:tcPr>
            <w:tcW w:w="3165" w:type="dxa"/>
          </w:tcPr>
          <w:p w14:paraId="191CA950" w14:textId="283203A3" w:rsidR="00C07BAE" w:rsidRPr="00C07BAE" w:rsidRDefault="00C07BAE" w:rsidP="00301236">
            <w:pPr>
              <w:ind w:left="240" w:hangingChars="100" w:hanging="240"/>
              <w:jc w:val="both"/>
              <w:rPr>
                <w:rFonts w:ascii="標楷體" w:eastAsia="標楷體" w:hAnsi="標楷體"/>
                <w:sz w:val="24"/>
                <w:szCs w:val="24"/>
              </w:rPr>
            </w:pPr>
            <w:r w:rsidRPr="00C07BAE">
              <w:rPr>
                <w:rFonts w:ascii="標楷體" w:eastAsia="標楷體" w:hAnsi="標楷體"/>
                <w:sz w:val="24"/>
                <w:szCs w:val="24"/>
              </w:rPr>
              <w:t>第十二條之</w:t>
            </w:r>
            <w:proofErr w:type="gramStart"/>
            <w:r w:rsidRPr="00C07BAE">
              <w:rPr>
                <w:rFonts w:ascii="標楷體" w:eastAsia="標楷體" w:hAnsi="標楷體"/>
                <w:sz w:val="24"/>
                <w:szCs w:val="24"/>
              </w:rPr>
              <w:t>一</w:t>
            </w:r>
            <w:proofErr w:type="gramEnd"/>
            <w:r w:rsidRPr="00C07BAE">
              <w:rPr>
                <w:rFonts w:ascii="標楷體" w:eastAsia="標楷體" w:hAnsi="標楷體" w:hint="eastAsia"/>
                <w:sz w:val="24"/>
                <w:szCs w:val="24"/>
              </w:rPr>
              <w:t xml:space="preserve">　</w:t>
            </w:r>
            <w:r w:rsidRPr="00C07BAE">
              <w:rPr>
                <w:rFonts w:ascii="標楷體" w:eastAsia="標楷體" w:hAnsi="標楷體"/>
                <w:sz w:val="24"/>
                <w:szCs w:val="24"/>
              </w:rPr>
              <w:t>證券商與證券投資信託事業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簽訂前條第一項</w:t>
            </w:r>
            <w:r w:rsidRPr="00C07BAE">
              <w:rPr>
                <w:rFonts w:ascii="標楷體" w:eastAsia="標楷體" w:hAnsi="標楷體" w:hint="eastAsia"/>
                <w:sz w:val="24"/>
                <w:szCs w:val="24"/>
              </w:rPr>
              <w:t>或第二項</w:t>
            </w:r>
            <w:r w:rsidRPr="00C07BAE">
              <w:rPr>
                <w:rFonts w:ascii="標楷體" w:eastAsia="標楷體" w:hAnsi="標楷體"/>
                <w:sz w:val="24"/>
                <w:szCs w:val="24"/>
              </w:rPr>
              <w:t>之相關契約者，稱為參與證券商，其應符合下列條件，並經本中心審查後核發許可函：</w:t>
            </w:r>
          </w:p>
          <w:p w14:paraId="14BB7E17" w14:textId="010989EA" w:rsidR="00C07BAE" w:rsidRPr="00C07BAE" w:rsidRDefault="00C07BAE" w:rsidP="00902C1C">
            <w:pPr>
              <w:tabs>
                <w:tab w:val="left" w:pos="689"/>
              </w:tabs>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一、</w:t>
            </w:r>
            <w:r w:rsidR="00902C1C">
              <w:rPr>
                <w:rFonts w:ascii="標楷體" w:eastAsia="標楷體" w:hAnsi="標楷體"/>
                <w:sz w:val="24"/>
                <w:szCs w:val="24"/>
              </w:rPr>
              <w:tab/>
            </w:r>
            <w:r w:rsidRPr="00C07BAE">
              <w:rPr>
                <w:rFonts w:ascii="標楷體" w:eastAsia="標楷體" w:hAnsi="標楷體"/>
                <w:sz w:val="24"/>
                <w:szCs w:val="24"/>
              </w:rPr>
              <w:t>證券商之資本適足比率，其最近</w:t>
            </w:r>
            <w:r w:rsidRPr="00C07BAE">
              <w:rPr>
                <w:rFonts w:ascii="標楷體" w:eastAsia="標楷體" w:hAnsi="標楷體" w:hint="eastAsia"/>
                <w:color w:val="FF0000"/>
                <w:sz w:val="24"/>
                <w:szCs w:val="24"/>
                <w:u w:val="single"/>
              </w:rPr>
              <w:t>六</w:t>
            </w:r>
            <w:r w:rsidRPr="00C07BAE">
              <w:rPr>
                <w:rFonts w:ascii="標楷體" w:eastAsia="標楷體" w:hAnsi="標楷體"/>
                <w:sz w:val="24"/>
                <w:szCs w:val="24"/>
              </w:rPr>
              <w:t>個月自有資本適足</w:t>
            </w:r>
            <w:proofErr w:type="gramStart"/>
            <w:r w:rsidRPr="00C07BAE">
              <w:rPr>
                <w:rFonts w:ascii="標楷體" w:eastAsia="標楷體" w:hAnsi="標楷體"/>
                <w:sz w:val="24"/>
                <w:szCs w:val="24"/>
              </w:rPr>
              <w:t>比率均逾百分之一百五十</w:t>
            </w:r>
            <w:proofErr w:type="gramEnd"/>
            <w:r w:rsidRPr="00C07BAE">
              <w:rPr>
                <w:rFonts w:ascii="標楷體" w:eastAsia="標楷體" w:hAnsi="標楷體"/>
                <w:sz w:val="24"/>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r w:rsidRPr="00C07BAE">
              <w:rPr>
                <w:rFonts w:ascii="標楷體" w:eastAsia="標楷體" w:hAnsi="標楷體" w:hint="eastAsia"/>
                <w:color w:val="FF0000"/>
                <w:sz w:val="24"/>
                <w:szCs w:val="24"/>
                <w:u w:val="single"/>
              </w:rPr>
              <w:t>金融機構兼營證券業務者最近六個月自有資本適足率，應符合銀行法第四十四條資本適足率相關規定。期貨商兼營證券自營業務者，最近六個月調整後淨資本額占期貨交易人未沖銷部位所需之客戶保證金總額比例之月簡單算術平均數逾百分之四十。</w:t>
            </w:r>
          </w:p>
          <w:p w14:paraId="77E10800" w14:textId="7DD19F6B" w:rsidR="00C07BAE" w:rsidRPr="00C07BAE" w:rsidRDefault="00C07BAE" w:rsidP="00301236">
            <w:pPr>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二、應取得信用評等機構評定之長期債務信用評等達一定等級以上：中華信用評等股份有限公司</w:t>
            </w:r>
            <w:r w:rsidRPr="00C07BAE">
              <w:rPr>
                <w:rFonts w:ascii="標楷體" w:eastAsia="標楷體" w:hAnsi="標楷體"/>
                <w:sz w:val="24"/>
                <w:szCs w:val="24"/>
              </w:rPr>
              <w:lastRenderedPageBreak/>
              <w:t>評級為</w:t>
            </w:r>
            <w:proofErr w:type="spellStart"/>
            <w:r w:rsidRPr="00C07BAE">
              <w:rPr>
                <w:rFonts w:ascii="標楷體" w:eastAsia="標楷體" w:hAnsi="標楷體"/>
                <w:sz w:val="24"/>
                <w:szCs w:val="24"/>
              </w:rPr>
              <w:t>twBB</w:t>
            </w:r>
            <w:proofErr w:type="spellEnd"/>
            <w:r w:rsidRPr="00C07BAE">
              <w:rPr>
                <w:rFonts w:ascii="標楷體" w:eastAsia="標楷體" w:hAnsi="標楷體"/>
                <w:sz w:val="24"/>
                <w:szCs w:val="24"/>
              </w:rPr>
              <w:t>-級以上，或</w:t>
            </w:r>
            <w:r w:rsidRPr="00C07BAE">
              <w:rPr>
                <w:rFonts w:ascii="標楷體" w:eastAsia="標楷體" w:hAnsi="標楷體" w:hint="eastAsia"/>
                <w:sz w:val="24"/>
                <w:szCs w:val="24"/>
              </w:rPr>
              <w:t xml:space="preserve">Moody's </w:t>
            </w:r>
            <w:r w:rsidRPr="00C07BAE">
              <w:rPr>
                <w:rFonts w:ascii="標楷體" w:eastAsia="標楷體" w:hAnsi="標楷體"/>
                <w:color w:val="FF0000"/>
                <w:sz w:val="24"/>
                <w:szCs w:val="24"/>
                <w:u w:val="single"/>
              </w:rPr>
              <w:t>Investors</w:t>
            </w:r>
            <w:r w:rsidRPr="00C07BAE">
              <w:rPr>
                <w:rFonts w:ascii="標楷體" w:eastAsia="標楷體" w:hAnsi="標楷體"/>
                <w:sz w:val="24"/>
                <w:szCs w:val="24"/>
              </w:rPr>
              <w:t xml:space="preserve"> </w:t>
            </w:r>
            <w:r w:rsidRPr="00C07BAE">
              <w:rPr>
                <w:rFonts w:ascii="標楷體" w:eastAsia="標楷體" w:hAnsi="標楷體" w:hint="eastAsia"/>
                <w:sz w:val="24"/>
                <w:szCs w:val="24"/>
              </w:rPr>
              <w:t>Service</w:t>
            </w:r>
            <w:r w:rsidRPr="00C07BAE">
              <w:rPr>
                <w:rFonts w:ascii="標楷體" w:eastAsia="標楷體" w:hAnsi="標楷體"/>
                <w:color w:val="FF0000"/>
                <w:sz w:val="24"/>
                <w:szCs w:val="24"/>
                <w:u w:val="single"/>
              </w:rPr>
              <w:t>,</w:t>
            </w:r>
            <w:r w:rsidRPr="00C07BAE">
              <w:rPr>
                <w:color w:val="FF0000"/>
                <w:sz w:val="24"/>
                <w:szCs w:val="24"/>
              </w:rPr>
              <w:t xml:space="preserve"> </w:t>
            </w:r>
            <w:proofErr w:type="spellStart"/>
            <w:r w:rsidRPr="00C07BAE">
              <w:rPr>
                <w:rFonts w:ascii="標楷體" w:eastAsia="標楷體" w:hAnsi="標楷體"/>
                <w:color w:val="FF0000"/>
                <w:sz w:val="24"/>
                <w:szCs w:val="24"/>
                <w:u w:val="single"/>
              </w:rPr>
              <w:t>Inc</w:t>
            </w:r>
            <w:proofErr w:type="spellEnd"/>
            <w:r w:rsidRPr="00C07BAE">
              <w:rPr>
                <w:rFonts w:ascii="標楷體" w:eastAsia="標楷體" w:hAnsi="標楷體"/>
                <w:sz w:val="24"/>
                <w:szCs w:val="24"/>
              </w:rPr>
              <w:t>評級Ba3級以上，或</w:t>
            </w:r>
            <w:r w:rsidRPr="00C07BAE">
              <w:rPr>
                <w:rFonts w:ascii="標楷體" w:eastAsia="標楷體" w:hAnsi="標楷體" w:hint="eastAsia"/>
                <w:sz w:val="24"/>
                <w:szCs w:val="24"/>
              </w:rPr>
              <w:t xml:space="preserve">Standard &amp; Poor's </w:t>
            </w:r>
            <w:r w:rsidRPr="00C07BAE">
              <w:rPr>
                <w:rFonts w:ascii="標楷體" w:eastAsia="標楷體" w:hAnsi="標楷體"/>
                <w:color w:val="FF0000"/>
                <w:sz w:val="24"/>
                <w:szCs w:val="24"/>
                <w:u w:val="single"/>
              </w:rPr>
              <w:t>Ratings Services</w:t>
            </w:r>
            <w:r w:rsidRPr="00C07BAE">
              <w:rPr>
                <w:rFonts w:ascii="標楷體" w:eastAsia="標楷體" w:hAnsi="標楷體"/>
                <w:sz w:val="24"/>
                <w:szCs w:val="24"/>
              </w:rPr>
              <w:t xml:space="preserve">評級 BB-級以上，或 </w:t>
            </w:r>
            <w:r w:rsidRPr="00C07BAE">
              <w:rPr>
                <w:rFonts w:ascii="標楷體" w:eastAsia="標楷體" w:hAnsi="標楷體" w:hint="eastAsia"/>
                <w:sz w:val="24"/>
                <w:szCs w:val="24"/>
              </w:rPr>
              <w:t xml:space="preserve">Fitch </w:t>
            </w:r>
            <w:r w:rsidRPr="00C07BAE">
              <w:rPr>
                <w:rFonts w:ascii="標楷體" w:eastAsia="標楷體" w:hAnsi="標楷體"/>
                <w:color w:val="FF0000"/>
                <w:sz w:val="24"/>
                <w:szCs w:val="24"/>
                <w:u w:val="single"/>
              </w:rPr>
              <w:t>Ratings Ltd</w:t>
            </w:r>
            <w:r w:rsidRPr="00C07BAE">
              <w:rPr>
                <w:rFonts w:ascii="標楷體" w:eastAsia="標楷體" w:hAnsi="標楷體" w:hint="eastAsia"/>
                <w:color w:val="FF0000"/>
                <w:sz w:val="24"/>
                <w:szCs w:val="24"/>
                <w:u w:val="single"/>
              </w:rPr>
              <w:t>.</w:t>
            </w:r>
            <w:r w:rsidRPr="00C07BAE">
              <w:rPr>
                <w:rFonts w:ascii="標楷體" w:eastAsia="標楷體" w:hAnsi="標楷體"/>
                <w:sz w:val="24"/>
                <w:szCs w:val="24"/>
              </w:rPr>
              <w:t>評級 BB-級以上</w:t>
            </w:r>
            <w:r w:rsidRPr="00C07BAE">
              <w:rPr>
                <w:rFonts w:ascii="標楷體" w:eastAsia="標楷體" w:hAnsi="標楷體" w:hint="eastAsia"/>
                <w:color w:val="FF0000"/>
                <w:sz w:val="24"/>
                <w:szCs w:val="24"/>
                <w:u w:val="single"/>
              </w:rPr>
              <w:t>，或澳洲</w:t>
            </w:r>
            <w:proofErr w:type="gramStart"/>
            <w:r w:rsidRPr="00C07BAE">
              <w:rPr>
                <w:rFonts w:ascii="標楷體" w:eastAsia="標楷體" w:hAnsi="標楷體" w:hint="eastAsia"/>
                <w:color w:val="FF0000"/>
                <w:sz w:val="24"/>
                <w:szCs w:val="24"/>
                <w:u w:val="single"/>
              </w:rPr>
              <w:t>商惠譽國際</w:t>
            </w:r>
            <w:proofErr w:type="gramEnd"/>
            <w:r w:rsidRPr="00C07BAE">
              <w:rPr>
                <w:rFonts w:ascii="標楷體" w:eastAsia="標楷體" w:hAnsi="標楷體" w:hint="eastAsia"/>
                <w:color w:val="FF0000"/>
                <w:sz w:val="24"/>
                <w:szCs w:val="24"/>
                <w:u w:val="single"/>
              </w:rPr>
              <w:t>信用評等股份有限公司臺灣分公司評級BB-(</w:t>
            </w:r>
            <w:proofErr w:type="spellStart"/>
            <w:r w:rsidRPr="00C07BAE">
              <w:rPr>
                <w:rFonts w:ascii="標楷體" w:eastAsia="標楷體" w:hAnsi="標楷體"/>
                <w:color w:val="FF0000"/>
                <w:sz w:val="24"/>
                <w:szCs w:val="24"/>
                <w:u w:val="single"/>
              </w:rPr>
              <w:t>twn</w:t>
            </w:r>
            <w:proofErr w:type="spellEnd"/>
            <w:r w:rsidRPr="00C07BAE">
              <w:rPr>
                <w:rFonts w:ascii="標楷體" w:eastAsia="標楷體" w:hAnsi="標楷體"/>
                <w:color w:val="FF0000"/>
                <w:sz w:val="24"/>
                <w:szCs w:val="24"/>
                <w:u w:val="single"/>
              </w:rPr>
              <w:t>)</w:t>
            </w:r>
            <w:r w:rsidRPr="00C07BAE">
              <w:rPr>
                <w:rFonts w:ascii="標楷體" w:eastAsia="標楷體" w:hAnsi="標楷體" w:hint="eastAsia"/>
                <w:color w:val="FF0000"/>
                <w:sz w:val="24"/>
                <w:szCs w:val="24"/>
                <w:u w:val="single"/>
              </w:rPr>
              <w:t>級以上</w:t>
            </w:r>
            <w:r w:rsidRPr="00C07BAE">
              <w:rPr>
                <w:rFonts w:ascii="標楷體" w:eastAsia="標楷體" w:hAnsi="標楷體"/>
                <w:sz w:val="24"/>
                <w:szCs w:val="24"/>
              </w:rPr>
              <w:t>之信用評等。金融機構兼營者得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金融機構之信用評級，外國證券商在台分公司得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集團控股公司之信用評級。</w:t>
            </w:r>
          </w:p>
          <w:p w14:paraId="0EFCEB6D" w14:textId="1F2DE23B" w:rsidR="00C07BAE" w:rsidRPr="00C07BAE" w:rsidRDefault="00C07BAE" w:rsidP="00301236">
            <w:pPr>
              <w:ind w:leftChars="100" w:left="200" w:firstLineChars="200" w:firstLine="480"/>
              <w:jc w:val="both"/>
              <w:rPr>
                <w:rFonts w:ascii="標楷體" w:eastAsia="標楷體" w:hAnsi="標楷體"/>
                <w:sz w:val="24"/>
                <w:szCs w:val="24"/>
              </w:rPr>
            </w:pPr>
            <w:r w:rsidRPr="00C07BAE">
              <w:rPr>
                <w:rFonts w:ascii="標楷體" w:eastAsia="標楷體" w:hAnsi="標楷體"/>
                <w:sz w:val="24"/>
                <w:szCs w:val="24"/>
              </w:rPr>
              <w:t>證券商應於取得本中心許可函後</w:t>
            </w:r>
            <w:r w:rsidRPr="00C07BAE">
              <w:rPr>
                <w:rFonts w:ascii="標楷體" w:eastAsia="標楷體" w:hAnsi="標楷體" w:hint="eastAsia"/>
                <w:color w:val="FF0000"/>
                <w:sz w:val="24"/>
                <w:szCs w:val="24"/>
                <w:u w:val="single"/>
              </w:rPr>
              <w:t>一年</w:t>
            </w:r>
            <w:r w:rsidRPr="00C07BAE">
              <w:rPr>
                <w:rFonts w:ascii="標楷體" w:eastAsia="標楷體" w:hAnsi="標楷體"/>
                <w:sz w:val="24"/>
                <w:szCs w:val="24"/>
              </w:rPr>
              <w:t>內，與發行指數股票型基金受益憑證之證券投資信託事業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簽訂參與契約，始得成為參與證券商。</w:t>
            </w:r>
          </w:p>
          <w:p w14:paraId="6945DA45" w14:textId="04E0F5CF" w:rsidR="00C07BAE" w:rsidRPr="00C07BAE" w:rsidRDefault="00C07BAE" w:rsidP="00301236">
            <w:pPr>
              <w:ind w:leftChars="100" w:left="200" w:firstLineChars="200" w:firstLine="480"/>
              <w:jc w:val="both"/>
              <w:rPr>
                <w:rFonts w:ascii="標楷體" w:eastAsia="標楷體" w:hAnsi="標楷體" w:cs="細明體"/>
                <w:sz w:val="24"/>
                <w:szCs w:val="24"/>
              </w:rPr>
            </w:pPr>
            <w:r w:rsidRPr="00C07BAE">
              <w:rPr>
                <w:rFonts w:ascii="標楷體" w:eastAsia="標楷體" w:hAnsi="標楷體"/>
                <w:sz w:val="24"/>
                <w:szCs w:val="24"/>
              </w:rPr>
              <w:t>證券商經本中心許可且已擔任參與證券商，或已獲許可而尚未簽約者，</w:t>
            </w:r>
            <w:r w:rsidRPr="00C07BAE">
              <w:rPr>
                <w:rFonts w:ascii="標楷體" w:eastAsia="標楷體" w:hAnsi="標楷體" w:hint="eastAsia"/>
                <w:color w:val="FF0000"/>
                <w:sz w:val="24"/>
                <w:szCs w:val="24"/>
                <w:u w:val="single"/>
              </w:rPr>
              <w:t>連續二個月有未符第一項第一款情事者</w:t>
            </w:r>
            <w:r w:rsidRPr="00C07BAE">
              <w:rPr>
                <w:rFonts w:ascii="標楷體" w:eastAsia="標楷體" w:hAnsi="標楷體"/>
                <w:sz w:val="24"/>
                <w:szCs w:val="24"/>
              </w:rPr>
              <w:t>，應停止從事參與證券商，</w:t>
            </w:r>
            <w:proofErr w:type="gramStart"/>
            <w:r w:rsidRPr="00C07BAE">
              <w:rPr>
                <w:rFonts w:ascii="標楷體" w:eastAsia="標楷體" w:hAnsi="標楷體"/>
                <w:sz w:val="24"/>
                <w:szCs w:val="24"/>
              </w:rPr>
              <w:t>俟</w:t>
            </w:r>
            <w:proofErr w:type="gramEnd"/>
            <w:r w:rsidRPr="00C07BAE">
              <w:rPr>
                <w:rFonts w:ascii="標楷體" w:eastAsia="標楷體" w:hAnsi="標楷體"/>
                <w:sz w:val="24"/>
                <w:szCs w:val="24"/>
              </w:rPr>
              <w:t>連續三個月符合自有資本比率</w:t>
            </w:r>
            <w:r w:rsidRPr="00C07BAE">
              <w:rPr>
                <w:rFonts w:ascii="標楷體" w:eastAsia="標楷體" w:hAnsi="標楷體" w:hint="eastAsia"/>
                <w:color w:val="FF0000"/>
                <w:sz w:val="24"/>
                <w:szCs w:val="24"/>
                <w:u w:val="single"/>
              </w:rPr>
              <w:t>或調整後淨資本額占期貨交易人未沖銷部位所需之客戶保證金總額比例</w:t>
            </w:r>
            <w:r w:rsidRPr="00C07BAE">
              <w:rPr>
                <w:rFonts w:ascii="標楷體" w:eastAsia="標楷體" w:hAnsi="標楷體"/>
                <w:sz w:val="24"/>
                <w:szCs w:val="24"/>
              </w:rPr>
              <w:t>規定，並報經本中心同意後，始得恢復。</w:t>
            </w:r>
          </w:p>
        </w:tc>
        <w:tc>
          <w:tcPr>
            <w:tcW w:w="3166" w:type="dxa"/>
          </w:tcPr>
          <w:p w14:paraId="77DE1283" w14:textId="77777777" w:rsidR="00C07BAE" w:rsidRPr="00C07BAE" w:rsidRDefault="00C07BAE" w:rsidP="00E31F75">
            <w:pPr>
              <w:ind w:left="240" w:hangingChars="100" w:hanging="240"/>
              <w:jc w:val="both"/>
              <w:rPr>
                <w:rFonts w:ascii="標楷體" w:eastAsia="標楷體" w:hAnsi="標楷體"/>
                <w:sz w:val="24"/>
                <w:szCs w:val="24"/>
              </w:rPr>
            </w:pPr>
            <w:r w:rsidRPr="00C07BAE">
              <w:rPr>
                <w:rFonts w:ascii="標楷體" w:eastAsia="標楷體" w:hAnsi="標楷體"/>
                <w:sz w:val="24"/>
                <w:szCs w:val="24"/>
              </w:rPr>
              <w:lastRenderedPageBreak/>
              <w:t>第十二條之</w:t>
            </w:r>
            <w:proofErr w:type="gramStart"/>
            <w:r w:rsidRPr="00C07BAE">
              <w:rPr>
                <w:rFonts w:ascii="標楷體" w:eastAsia="標楷體" w:hAnsi="標楷體"/>
                <w:sz w:val="24"/>
                <w:szCs w:val="24"/>
              </w:rPr>
              <w:t>一</w:t>
            </w:r>
            <w:proofErr w:type="gramEnd"/>
            <w:r w:rsidRPr="00C07BAE">
              <w:rPr>
                <w:rFonts w:ascii="標楷體" w:eastAsia="標楷體" w:hAnsi="標楷體" w:hint="eastAsia"/>
                <w:sz w:val="24"/>
                <w:szCs w:val="24"/>
              </w:rPr>
              <w:t xml:space="preserve">　</w:t>
            </w:r>
            <w:r w:rsidRPr="00C07BAE">
              <w:rPr>
                <w:rFonts w:ascii="標楷體" w:eastAsia="標楷體" w:hAnsi="標楷體"/>
                <w:sz w:val="24"/>
                <w:szCs w:val="24"/>
              </w:rPr>
              <w:t>證券商與證券投資信託事業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簽訂前條第一項</w:t>
            </w:r>
            <w:r w:rsidRPr="00C07BAE">
              <w:rPr>
                <w:rFonts w:ascii="標楷體" w:eastAsia="標楷體" w:hAnsi="標楷體" w:hint="eastAsia"/>
                <w:sz w:val="24"/>
                <w:szCs w:val="24"/>
              </w:rPr>
              <w:t>或第二項</w:t>
            </w:r>
            <w:r w:rsidRPr="00C07BAE">
              <w:rPr>
                <w:rFonts w:ascii="標楷體" w:eastAsia="標楷體" w:hAnsi="標楷體"/>
                <w:sz w:val="24"/>
                <w:szCs w:val="24"/>
              </w:rPr>
              <w:t>之相關契約者，稱為參與證券商，其應符合下列條件，並經本中心審查後核發許可函：</w:t>
            </w:r>
          </w:p>
          <w:p w14:paraId="495EA16D" w14:textId="77777777" w:rsidR="00C07BAE" w:rsidRPr="00C07BAE" w:rsidRDefault="00C07BAE" w:rsidP="00E31F75">
            <w:pPr>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一、證券商</w:t>
            </w:r>
            <w:r w:rsidRPr="00B0119F">
              <w:rPr>
                <w:rFonts w:ascii="標楷體" w:eastAsia="標楷體" w:hAnsi="標楷體"/>
                <w:color w:val="FF0000"/>
                <w:sz w:val="24"/>
                <w:szCs w:val="24"/>
                <w:u w:val="single"/>
              </w:rPr>
              <w:t>除由金融機構兼營者</w:t>
            </w:r>
            <w:r w:rsidRPr="00B0119F">
              <w:rPr>
                <w:rFonts w:ascii="標楷體" w:eastAsia="標楷體" w:hAnsi="標楷體"/>
                <w:sz w:val="24"/>
                <w:szCs w:val="24"/>
              </w:rPr>
              <w:t>之資本適足比率，</w:t>
            </w:r>
            <w:r w:rsidRPr="00B0119F">
              <w:rPr>
                <w:rFonts w:ascii="標楷體" w:eastAsia="標楷體" w:hAnsi="標楷體"/>
                <w:color w:val="FF0000"/>
                <w:sz w:val="24"/>
                <w:szCs w:val="24"/>
                <w:u w:val="single"/>
              </w:rPr>
              <w:t>依銀行法第四十四條資本適足率相關規定外，</w:t>
            </w:r>
            <w:r w:rsidRPr="00C07BAE">
              <w:rPr>
                <w:rFonts w:ascii="標楷體" w:eastAsia="標楷體" w:hAnsi="標楷體"/>
                <w:sz w:val="24"/>
                <w:szCs w:val="24"/>
              </w:rPr>
              <w:t>其最近</w:t>
            </w:r>
            <w:r w:rsidRPr="00C07BAE">
              <w:rPr>
                <w:rFonts w:ascii="標楷體" w:eastAsia="標楷體" w:hAnsi="標楷體"/>
                <w:color w:val="FF0000"/>
                <w:sz w:val="24"/>
                <w:szCs w:val="24"/>
                <w:u w:val="single"/>
              </w:rPr>
              <w:t>6</w:t>
            </w:r>
            <w:r w:rsidRPr="00C07BAE">
              <w:rPr>
                <w:rFonts w:ascii="標楷體" w:eastAsia="標楷體" w:hAnsi="標楷體"/>
                <w:sz w:val="24"/>
                <w:szCs w:val="24"/>
              </w:rPr>
              <w:t>個月自有資本適足</w:t>
            </w:r>
            <w:proofErr w:type="gramStart"/>
            <w:r w:rsidRPr="00C07BAE">
              <w:rPr>
                <w:rFonts w:ascii="標楷體" w:eastAsia="標楷體" w:hAnsi="標楷體"/>
                <w:sz w:val="24"/>
                <w:szCs w:val="24"/>
              </w:rPr>
              <w:t>比率均逾百分之一百五十</w:t>
            </w:r>
            <w:proofErr w:type="gramEnd"/>
            <w:r w:rsidRPr="00C07BAE">
              <w:rPr>
                <w:rFonts w:ascii="標楷體" w:eastAsia="標楷體" w:hAnsi="標楷體"/>
                <w:sz w:val="24"/>
                <w:szCs w:val="24"/>
              </w:rPr>
              <w:t>。但外國證券商在台分公司如其母國總公司已依其當地國法令之規定計算自有資本適足比率，且將在台分公司之經營風險列入計算，符合標準並經金融監督管理委員會核准免適用國內證券商自有資本管理之規定，不在此限。</w:t>
            </w:r>
          </w:p>
          <w:p w14:paraId="7ADCA705" w14:textId="77777777" w:rsidR="00C07BAE" w:rsidRPr="00C07BAE" w:rsidRDefault="00C07BAE" w:rsidP="00E31F75">
            <w:pPr>
              <w:ind w:leftChars="100" w:left="680" w:hangingChars="200" w:hanging="480"/>
              <w:jc w:val="both"/>
              <w:rPr>
                <w:rFonts w:ascii="標楷體" w:eastAsia="標楷體" w:hAnsi="標楷體"/>
                <w:sz w:val="24"/>
                <w:szCs w:val="24"/>
              </w:rPr>
            </w:pPr>
          </w:p>
          <w:p w14:paraId="7E005DC1" w14:textId="77777777" w:rsidR="00C07BAE" w:rsidRPr="00C07BAE" w:rsidRDefault="00C07BAE" w:rsidP="00E31F75">
            <w:pPr>
              <w:ind w:leftChars="100" w:left="680" w:hangingChars="200" w:hanging="480"/>
              <w:jc w:val="both"/>
              <w:rPr>
                <w:rFonts w:ascii="標楷體" w:eastAsia="標楷體" w:hAnsi="標楷體"/>
                <w:sz w:val="24"/>
                <w:szCs w:val="24"/>
              </w:rPr>
            </w:pPr>
          </w:p>
          <w:p w14:paraId="6F19A787" w14:textId="77777777" w:rsidR="00C07BAE" w:rsidRPr="00C07BAE" w:rsidRDefault="00C07BAE" w:rsidP="00E31F75">
            <w:pPr>
              <w:ind w:leftChars="100" w:left="680" w:hangingChars="200" w:hanging="480"/>
              <w:jc w:val="both"/>
              <w:rPr>
                <w:rFonts w:ascii="標楷體" w:eastAsia="標楷體" w:hAnsi="標楷體"/>
                <w:sz w:val="24"/>
                <w:szCs w:val="24"/>
              </w:rPr>
            </w:pPr>
          </w:p>
          <w:p w14:paraId="463CCDF8" w14:textId="77777777" w:rsidR="00C07BAE" w:rsidRPr="00C07BAE" w:rsidRDefault="00C07BAE" w:rsidP="00E31F75">
            <w:pPr>
              <w:ind w:leftChars="100" w:left="680" w:hangingChars="200" w:hanging="480"/>
              <w:jc w:val="both"/>
              <w:rPr>
                <w:rFonts w:ascii="標楷體" w:eastAsia="標楷體" w:hAnsi="標楷體"/>
                <w:sz w:val="24"/>
                <w:szCs w:val="24"/>
              </w:rPr>
            </w:pPr>
          </w:p>
          <w:p w14:paraId="25B67A89" w14:textId="77777777" w:rsidR="00C07BAE" w:rsidRPr="00C07BAE" w:rsidRDefault="00C07BAE" w:rsidP="00E31F75">
            <w:pPr>
              <w:ind w:leftChars="100" w:left="680" w:hangingChars="200" w:hanging="480"/>
              <w:jc w:val="both"/>
              <w:rPr>
                <w:rFonts w:ascii="標楷體" w:eastAsia="標楷體" w:hAnsi="標楷體"/>
                <w:sz w:val="24"/>
                <w:szCs w:val="24"/>
              </w:rPr>
            </w:pPr>
          </w:p>
          <w:p w14:paraId="44DCDB06" w14:textId="77777777" w:rsidR="00C07BAE" w:rsidRPr="00C07BAE" w:rsidRDefault="00C07BAE" w:rsidP="00E31F75">
            <w:pPr>
              <w:ind w:leftChars="100" w:left="680" w:hangingChars="200" w:hanging="480"/>
              <w:jc w:val="both"/>
              <w:rPr>
                <w:rFonts w:ascii="標楷體" w:eastAsia="標楷體" w:hAnsi="標楷體"/>
                <w:sz w:val="24"/>
                <w:szCs w:val="24"/>
              </w:rPr>
            </w:pPr>
          </w:p>
          <w:p w14:paraId="67CB5DC7" w14:textId="77777777" w:rsidR="00C07BAE" w:rsidRPr="00C07BAE" w:rsidRDefault="00C07BAE" w:rsidP="00E31F75">
            <w:pPr>
              <w:ind w:leftChars="100" w:left="680" w:hangingChars="200" w:hanging="480"/>
              <w:jc w:val="both"/>
              <w:rPr>
                <w:rFonts w:ascii="標楷體" w:eastAsia="標楷體" w:hAnsi="標楷體"/>
                <w:sz w:val="24"/>
                <w:szCs w:val="24"/>
              </w:rPr>
            </w:pPr>
          </w:p>
          <w:p w14:paraId="7FD98B02" w14:textId="77777777" w:rsidR="00C07BAE" w:rsidRPr="00C07BAE" w:rsidRDefault="00C07BAE" w:rsidP="00E31F75">
            <w:pPr>
              <w:ind w:leftChars="100" w:left="680" w:hangingChars="200" w:hanging="480"/>
              <w:jc w:val="both"/>
              <w:rPr>
                <w:rFonts w:ascii="標楷體" w:eastAsia="標楷體" w:hAnsi="標楷體"/>
                <w:sz w:val="24"/>
                <w:szCs w:val="24"/>
              </w:rPr>
            </w:pPr>
          </w:p>
          <w:p w14:paraId="4E63AB2A" w14:textId="67518D30" w:rsidR="00C07BAE" w:rsidRPr="00C07BAE" w:rsidRDefault="00C07BAE" w:rsidP="00E31F75">
            <w:pPr>
              <w:ind w:leftChars="100" w:left="680" w:hangingChars="200" w:hanging="480"/>
              <w:jc w:val="both"/>
              <w:rPr>
                <w:rFonts w:ascii="標楷體" w:eastAsia="標楷體" w:hAnsi="標楷體"/>
                <w:sz w:val="24"/>
                <w:szCs w:val="24"/>
              </w:rPr>
            </w:pPr>
            <w:r w:rsidRPr="00C07BAE">
              <w:rPr>
                <w:rFonts w:ascii="標楷體" w:eastAsia="標楷體" w:hAnsi="標楷體"/>
                <w:sz w:val="24"/>
                <w:szCs w:val="24"/>
              </w:rPr>
              <w:t>二、應取得信用評等機構評定之長期債務信用評等達一定等級以上：中華信用評等股份有限公司</w:t>
            </w:r>
            <w:r w:rsidRPr="00C07BAE">
              <w:rPr>
                <w:rFonts w:ascii="標楷體" w:eastAsia="標楷體" w:hAnsi="標楷體"/>
                <w:sz w:val="24"/>
                <w:szCs w:val="24"/>
              </w:rPr>
              <w:lastRenderedPageBreak/>
              <w:t>評級為</w:t>
            </w:r>
            <w:proofErr w:type="spellStart"/>
            <w:r w:rsidRPr="00C07BAE">
              <w:rPr>
                <w:rFonts w:ascii="標楷體" w:eastAsia="標楷體" w:hAnsi="標楷體"/>
                <w:sz w:val="24"/>
                <w:szCs w:val="24"/>
              </w:rPr>
              <w:t>twBB</w:t>
            </w:r>
            <w:proofErr w:type="spellEnd"/>
            <w:r w:rsidRPr="00C07BAE">
              <w:rPr>
                <w:rFonts w:ascii="標楷體" w:eastAsia="標楷體" w:hAnsi="標楷體"/>
                <w:sz w:val="24"/>
                <w:szCs w:val="24"/>
              </w:rPr>
              <w:t>-級以上，或Moody's Service評級Ba3級以上，或Standard &amp; Poor's Corp.評級 BB-級以上，或 Fitch</w:t>
            </w:r>
            <w:r w:rsidRPr="00C07BAE">
              <w:rPr>
                <w:rFonts w:ascii="標楷體" w:eastAsia="標楷體" w:hAnsi="標楷體" w:hint="eastAsia"/>
                <w:sz w:val="24"/>
                <w:szCs w:val="24"/>
              </w:rPr>
              <w:t xml:space="preserve"> </w:t>
            </w:r>
            <w:r w:rsidRPr="00C07BAE">
              <w:rPr>
                <w:rFonts w:ascii="標楷體" w:eastAsia="標楷體" w:hAnsi="標楷體"/>
                <w:sz w:val="24"/>
                <w:szCs w:val="24"/>
              </w:rPr>
              <w:t>Inc.評級 BB-級以上之信用評等。金融機構兼營者得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金融機構之信用評級，外國證券商在台分公司得</w:t>
            </w:r>
            <w:proofErr w:type="gramStart"/>
            <w:r w:rsidRPr="00C07BAE">
              <w:rPr>
                <w:rFonts w:ascii="標楷體" w:eastAsia="標楷體" w:hAnsi="標楷體"/>
                <w:sz w:val="24"/>
                <w:szCs w:val="24"/>
              </w:rPr>
              <w:t>採</w:t>
            </w:r>
            <w:proofErr w:type="gramEnd"/>
            <w:r w:rsidRPr="00C07BAE">
              <w:rPr>
                <w:rFonts w:ascii="標楷體" w:eastAsia="標楷體" w:hAnsi="標楷體"/>
                <w:sz w:val="24"/>
                <w:szCs w:val="24"/>
              </w:rPr>
              <w:t>集團控股公司之信用評級。</w:t>
            </w:r>
          </w:p>
          <w:p w14:paraId="3E4CAE47"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1EC6A027"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44FAC126"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62D0A57F"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7969D90B"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6CB86804" w14:textId="77777777" w:rsidR="00C07BAE" w:rsidRPr="00C07BAE" w:rsidRDefault="00C07BAE" w:rsidP="00E31F75">
            <w:pPr>
              <w:ind w:leftChars="100" w:left="200" w:firstLineChars="200" w:firstLine="480"/>
              <w:jc w:val="both"/>
              <w:rPr>
                <w:rFonts w:ascii="標楷體" w:eastAsia="標楷體" w:hAnsi="標楷體"/>
                <w:sz w:val="24"/>
                <w:szCs w:val="24"/>
              </w:rPr>
            </w:pPr>
          </w:p>
          <w:p w14:paraId="60AA388E" w14:textId="77777777" w:rsidR="00C07BAE" w:rsidRPr="00C07BAE" w:rsidRDefault="00C07BAE" w:rsidP="00E31F75">
            <w:pPr>
              <w:ind w:leftChars="100" w:left="200" w:firstLineChars="200" w:firstLine="480"/>
              <w:jc w:val="both"/>
              <w:rPr>
                <w:rFonts w:ascii="標楷體" w:eastAsia="標楷體" w:hAnsi="標楷體"/>
                <w:sz w:val="24"/>
                <w:szCs w:val="24"/>
              </w:rPr>
            </w:pPr>
            <w:r w:rsidRPr="00C07BAE">
              <w:rPr>
                <w:rFonts w:ascii="標楷體" w:eastAsia="標楷體" w:hAnsi="標楷體"/>
                <w:sz w:val="24"/>
                <w:szCs w:val="24"/>
              </w:rPr>
              <w:t>證券商應於取得本中心許可函後</w:t>
            </w:r>
            <w:r w:rsidRPr="00C07BAE">
              <w:rPr>
                <w:rFonts w:ascii="標楷體" w:eastAsia="標楷體" w:hAnsi="標楷體"/>
                <w:color w:val="FF0000"/>
                <w:sz w:val="24"/>
                <w:szCs w:val="24"/>
                <w:u w:val="single"/>
              </w:rPr>
              <w:t>三</w:t>
            </w:r>
            <w:proofErr w:type="gramStart"/>
            <w:r w:rsidRPr="00C07BAE">
              <w:rPr>
                <w:rFonts w:ascii="標楷體" w:eastAsia="標楷體" w:hAnsi="標楷體"/>
                <w:color w:val="FF0000"/>
                <w:sz w:val="24"/>
                <w:szCs w:val="24"/>
                <w:u w:val="single"/>
              </w:rPr>
              <w:t>個</w:t>
            </w:r>
            <w:proofErr w:type="gramEnd"/>
            <w:r w:rsidRPr="00C07BAE">
              <w:rPr>
                <w:rFonts w:ascii="標楷體" w:eastAsia="標楷體" w:hAnsi="標楷體"/>
                <w:color w:val="FF0000"/>
                <w:sz w:val="24"/>
                <w:szCs w:val="24"/>
                <w:u w:val="single"/>
              </w:rPr>
              <w:t>月</w:t>
            </w:r>
            <w:r w:rsidRPr="00C07BAE">
              <w:rPr>
                <w:rFonts w:ascii="標楷體" w:eastAsia="標楷體" w:hAnsi="標楷體"/>
                <w:sz w:val="24"/>
                <w:szCs w:val="24"/>
              </w:rPr>
              <w:t>內，與發行指數股票型基金受益憑證之證券投資信託事業</w:t>
            </w:r>
            <w:r w:rsidRPr="00C07BAE">
              <w:rPr>
                <w:rFonts w:ascii="標楷體" w:eastAsia="標楷體" w:hAnsi="標楷體" w:hint="eastAsia"/>
                <w:sz w:val="24"/>
                <w:szCs w:val="24"/>
              </w:rPr>
              <w:t>或期貨信託事業</w:t>
            </w:r>
            <w:r w:rsidRPr="00C07BAE">
              <w:rPr>
                <w:rFonts w:ascii="標楷體" w:eastAsia="標楷體" w:hAnsi="標楷體"/>
                <w:sz w:val="24"/>
                <w:szCs w:val="24"/>
              </w:rPr>
              <w:t>簽訂參與契約，始得成為參與證券商。</w:t>
            </w:r>
          </w:p>
          <w:p w14:paraId="6FF338DF" w14:textId="2BC1ED70" w:rsidR="00C07BAE" w:rsidRPr="00C07BAE" w:rsidRDefault="00C07BAE" w:rsidP="00E31F75">
            <w:pPr>
              <w:ind w:leftChars="100" w:left="200" w:firstLineChars="200" w:firstLine="480"/>
              <w:jc w:val="both"/>
              <w:rPr>
                <w:rFonts w:ascii="標楷體" w:eastAsia="標楷體" w:hAnsi="標楷體"/>
                <w:sz w:val="24"/>
                <w:szCs w:val="24"/>
              </w:rPr>
            </w:pPr>
            <w:r w:rsidRPr="00C07BAE">
              <w:rPr>
                <w:rFonts w:ascii="標楷體" w:eastAsia="標楷體" w:hAnsi="標楷體"/>
                <w:sz w:val="24"/>
                <w:szCs w:val="24"/>
              </w:rPr>
              <w:t>證券商經本中心許可且已擔任參與證券商，或已獲許可而尚未簽約者，</w:t>
            </w:r>
            <w:r w:rsidRPr="00C07BAE">
              <w:rPr>
                <w:rFonts w:ascii="標楷體" w:eastAsia="標楷體" w:hAnsi="標楷體"/>
                <w:color w:val="FF0000"/>
                <w:sz w:val="24"/>
                <w:szCs w:val="24"/>
                <w:u w:val="single"/>
              </w:rPr>
              <w:t>自有</w:t>
            </w:r>
            <w:r w:rsidRPr="00C07BAE">
              <w:rPr>
                <w:rFonts w:ascii="標楷體" w:eastAsia="標楷體" w:hAnsi="標楷體"/>
                <w:snapToGrid w:val="0"/>
                <w:color w:val="FF0000"/>
                <w:sz w:val="24"/>
                <w:szCs w:val="24"/>
                <w:u w:val="single"/>
              </w:rPr>
              <w:t>資本</w:t>
            </w:r>
            <w:r w:rsidRPr="00C07BAE">
              <w:rPr>
                <w:rFonts w:ascii="標楷體" w:eastAsia="標楷體" w:hAnsi="標楷體"/>
                <w:color w:val="FF0000"/>
                <w:sz w:val="24"/>
                <w:szCs w:val="24"/>
                <w:u w:val="single"/>
              </w:rPr>
              <w:t>適足比率連續二個月低於百分之一百五十者，</w:t>
            </w:r>
            <w:r w:rsidRPr="00C07BAE">
              <w:rPr>
                <w:rFonts w:ascii="標楷體" w:eastAsia="標楷體" w:hAnsi="標楷體"/>
                <w:sz w:val="24"/>
                <w:szCs w:val="24"/>
              </w:rPr>
              <w:t>應停止從事參與證券商，</w:t>
            </w:r>
            <w:proofErr w:type="gramStart"/>
            <w:r w:rsidRPr="00C07BAE">
              <w:rPr>
                <w:rFonts w:ascii="標楷體" w:eastAsia="標楷體" w:hAnsi="標楷體"/>
                <w:sz w:val="24"/>
                <w:szCs w:val="24"/>
              </w:rPr>
              <w:t>俟</w:t>
            </w:r>
            <w:proofErr w:type="gramEnd"/>
            <w:r w:rsidRPr="00C07BAE">
              <w:rPr>
                <w:rFonts w:ascii="標楷體" w:eastAsia="標楷體" w:hAnsi="標楷體"/>
                <w:sz w:val="24"/>
                <w:szCs w:val="24"/>
              </w:rPr>
              <w:t>連續三個月符合自有資本比率規定，並報經本中心同意後，始得恢復。</w:t>
            </w:r>
          </w:p>
        </w:tc>
        <w:tc>
          <w:tcPr>
            <w:tcW w:w="3166" w:type="dxa"/>
          </w:tcPr>
          <w:p w14:paraId="63ADDB93" w14:textId="2C49C3C5" w:rsidR="00C07BAE" w:rsidRPr="00C07BAE" w:rsidRDefault="00C07BAE" w:rsidP="00344D10">
            <w:pPr>
              <w:pStyle w:val="a8"/>
              <w:widowControl/>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color w:val="000000"/>
                <w:sz w:val="24"/>
                <w:szCs w:val="24"/>
              </w:rPr>
            </w:pPr>
            <w:r w:rsidRPr="00C07BAE">
              <w:rPr>
                <w:rFonts w:ascii="Book Antiqua" w:eastAsia="標楷體" w:hAnsi="標楷體" w:hint="eastAsia"/>
                <w:sz w:val="24"/>
                <w:szCs w:val="24"/>
              </w:rPr>
              <w:lastRenderedPageBreak/>
              <w:t>明定期貨商兼營證券自營業務者擬取得指數股票型基金受益憑證之</w:t>
            </w:r>
            <w:r w:rsidRPr="00C07BAE">
              <w:rPr>
                <w:rFonts w:eastAsia="標楷體" w:hint="eastAsia"/>
                <w:color w:val="000000"/>
                <w:sz w:val="24"/>
                <w:szCs w:val="24"/>
              </w:rPr>
              <w:t>參與證券商許可應符合之條件，及獲得許可後應持續符合之規定，</w:t>
            </w:r>
            <w:proofErr w:type="gramStart"/>
            <w:r w:rsidRPr="00C07BAE">
              <w:rPr>
                <w:rFonts w:eastAsia="標楷體" w:hint="eastAsia"/>
                <w:color w:val="000000"/>
                <w:sz w:val="24"/>
                <w:szCs w:val="24"/>
              </w:rPr>
              <w:t>爰</w:t>
            </w:r>
            <w:proofErr w:type="gramEnd"/>
            <w:r w:rsidRPr="00C07BAE">
              <w:rPr>
                <w:rFonts w:eastAsia="標楷體" w:hint="eastAsia"/>
                <w:color w:val="000000"/>
                <w:sz w:val="24"/>
                <w:szCs w:val="24"/>
              </w:rPr>
              <w:t>修正第</w:t>
            </w:r>
            <w:r w:rsidRPr="00C07BAE">
              <w:rPr>
                <w:rFonts w:eastAsia="標楷體" w:hint="eastAsia"/>
                <w:color w:val="000000"/>
                <w:sz w:val="24"/>
                <w:szCs w:val="24"/>
              </w:rPr>
              <w:t>1</w:t>
            </w:r>
            <w:r w:rsidRPr="00C07BAE">
              <w:rPr>
                <w:rFonts w:eastAsia="標楷體" w:hint="eastAsia"/>
                <w:color w:val="000000"/>
                <w:sz w:val="24"/>
                <w:szCs w:val="24"/>
              </w:rPr>
              <w:t>項第</w:t>
            </w:r>
            <w:r w:rsidRPr="00C07BAE">
              <w:rPr>
                <w:rFonts w:eastAsia="標楷體" w:hint="eastAsia"/>
                <w:color w:val="000000"/>
                <w:sz w:val="24"/>
                <w:szCs w:val="24"/>
              </w:rPr>
              <w:t>1</w:t>
            </w:r>
            <w:r w:rsidRPr="00C07BAE">
              <w:rPr>
                <w:rFonts w:eastAsia="標楷體" w:hint="eastAsia"/>
                <w:color w:val="000000"/>
                <w:sz w:val="24"/>
                <w:szCs w:val="24"/>
              </w:rPr>
              <w:t>款及第</w:t>
            </w:r>
            <w:r w:rsidRPr="00C07BAE">
              <w:rPr>
                <w:rFonts w:eastAsia="標楷體" w:hint="eastAsia"/>
                <w:color w:val="000000"/>
                <w:sz w:val="24"/>
                <w:szCs w:val="24"/>
              </w:rPr>
              <w:t>3</w:t>
            </w:r>
            <w:r w:rsidRPr="00C07BAE">
              <w:rPr>
                <w:rFonts w:eastAsia="標楷體" w:hint="eastAsia"/>
                <w:color w:val="000000"/>
                <w:sz w:val="24"/>
                <w:szCs w:val="24"/>
              </w:rPr>
              <w:t>項之規定，</w:t>
            </w:r>
            <w:proofErr w:type="gramStart"/>
            <w:r w:rsidRPr="00C07BAE">
              <w:rPr>
                <w:rFonts w:eastAsia="標楷體" w:hint="eastAsia"/>
                <w:color w:val="000000"/>
                <w:sz w:val="24"/>
                <w:szCs w:val="24"/>
              </w:rPr>
              <w:t>並酌修部分</w:t>
            </w:r>
            <w:proofErr w:type="gramEnd"/>
            <w:r w:rsidRPr="00C07BAE">
              <w:rPr>
                <w:rFonts w:eastAsia="標楷體" w:hint="eastAsia"/>
                <w:color w:val="000000"/>
                <w:sz w:val="24"/>
                <w:szCs w:val="24"/>
              </w:rPr>
              <w:t>文字。</w:t>
            </w:r>
          </w:p>
          <w:p w14:paraId="4FB8CBA7" w14:textId="77777777" w:rsidR="00C07BAE" w:rsidRPr="00C07BAE" w:rsidRDefault="00C07BAE" w:rsidP="00344D10">
            <w:pPr>
              <w:pStyle w:val="a8"/>
              <w:widowControl/>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color w:val="000000"/>
                <w:sz w:val="24"/>
                <w:szCs w:val="24"/>
              </w:rPr>
            </w:pPr>
            <w:r w:rsidRPr="00C07BAE">
              <w:rPr>
                <w:rFonts w:eastAsia="標楷體" w:hAnsi="標楷體" w:hint="eastAsia"/>
                <w:color w:val="000000"/>
                <w:sz w:val="24"/>
                <w:szCs w:val="24"/>
              </w:rPr>
              <w:t>配合各信用評等公司名稱異動，</w:t>
            </w:r>
            <w:proofErr w:type="gramStart"/>
            <w:r w:rsidRPr="00C07BAE">
              <w:rPr>
                <w:rFonts w:eastAsia="標楷體" w:hAnsi="標楷體" w:hint="eastAsia"/>
                <w:color w:val="000000"/>
                <w:sz w:val="24"/>
                <w:szCs w:val="24"/>
              </w:rPr>
              <w:t>酌修第</w:t>
            </w:r>
            <w:r w:rsidRPr="00C07BAE">
              <w:rPr>
                <w:rFonts w:eastAsia="標楷體" w:hAnsi="標楷體" w:hint="eastAsia"/>
                <w:color w:val="000000"/>
                <w:sz w:val="24"/>
                <w:szCs w:val="24"/>
              </w:rPr>
              <w:t>1</w:t>
            </w:r>
            <w:r w:rsidRPr="00C07BAE">
              <w:rPr>
                <w:rFonts w:eastAsia="標楷體" w:hAnsi="標楷體" w:hint="eastAsia"/>
                <w:color w:val="000000"/>
                <w:sz w:val="24"/>
                <w:szCs w:val="24"/>
              </w:rPr>
              <w:t>項</w:t>
            </w:r>
            <w:proofErr w:type="gramEnd"/>
            <w:r w:rsidRPr="00C07BAE">
              <w:rPr>
                <w:rFonts w:eastAsia="標楷體" w:hAnsi="標楷體" w:hint="eastAsia"/>
                <w:color w:val="000000"/>
                <w:sz w:val="24"/>
                <w:szCs w:val="24"/>
              </w:rPr>
              <w:t>第</w:t>
            </w:r>
            <w:r w:rsidRPr="00C07BAE">
              <w:rPr>
                <w:rFonts w:eastAsia="標楷體" w:hAnsi="標楷體" w:hint="eastAsia"/>
                <w:color w:val="000000"/>
                <w:sz w:val="24"/>
                <w:szCs w:val="24"/>
              </w:rPr>
              <w:t>2</w:t>
            </w:r>
            <w:r w:rsidRPr="00C07BAE">
              <w:rPr>
                <w:rFonts w:eastAsia="標楷體" w:hAnsi="標楷體" w:hint="eastAsia"/>
                <w:color w:val="000000"/>
                <w:sz w:val="24"/>
                <w:szCs w:val="24"/>
              </w:rPr>
              <w:t>款部分文字。</w:t>
            </w:r>
          </w:p>
          <w:p w14:paraId="5ABC5226" w14:textId="628CA7FD" w:rsidR="00C07BAE" w:rsidRPr="00C07BAE" w:rsidRDefault="00C07BAE" w:rsidP="00344D10">
            <w:pPr>
              <w:pStyle w:val="a8"/>
              <w:widowControl/>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hAnsi="標楷體"/>
                <w:color w:val="000000"/>
                <w:sz w:val="24"/>
                <w:szCs w:val="24"/>
              </w:rPr>
            </w:pPr>
            <w:r w:rsidRPr="00C07BAE">
              <w:rPr>
                <w:rFonts w:eastAsia="標楷體" w:hAnsi="標楷體" w:hint="eastAsia"/>
                <w:color w:val="000000"/>
                <w:sz w:val="24"/>
                <w:szCs w:val="24"/>
              </w:rPr>
              <w:t>為簡化作業，將參與證券商許可函之有效期限由</w:t>
            </w:r>
            <w:r w:rsidRPr="00C07BAE">
              <w:rPr>
                <w:rFonts w:eastAsia="標楷體" w:hAnsi="標楷體" w:hint="eastAsia"/>
                <w:color w:val="000000"/>
                <w:sz w:val="24"/>
                <w:szCs w:val="24"/>
              </w:rPr>
              <w:t>3</w:t>
            </w:r>
            <w:r w:rsidRPr="00C07BAE">
              <w:rPr>
                <w:rFonts w:eastAsia="標楷體" w:hAnsi="標楷體" w:hint="eastAsia"/>
                <w:color w:val="000000"/>
                <w:sz w:val="24"/>
                <w:szCs w:val="24"/>
              </w:rPr>
              <w:t>個月調整為</w:t>
            </w:r>
            <w:r w:rsidRPr="00C07BAE">
              <w:rPr>
                <w:rFonts w:eastAsia="標楷體" w:hAnsi="標楷體" w:hint="eastAsia"/>
                <w:color w:val="000000"/>
                <w:sz w:val="24"/>
                <w:szCs w:val="24"/>
              </w:rPr>
              <w:t>1</w:t>
            </w:r>
            <w:r w:rsidRPr="00C07BAE">
              <w:rPr>
                <w:rFonts w:eastAsia="標楷體" w:hAnsi="標楷體" w:hint="eastAsia"/>
                <w:color w:val="000000"/>
                <w:sz w:val="24"/>
                <w:szCs w:val="24"/>
              </w:rPr>
              <w:t>年，</w:t>
            </w:r>
            <w:proofErr w:type="gramStart"/>
            <w:r w:rsidRPr="00C07BAE">
              <w:rPr>
                <w:rFonts w:eastAsia="標楷體" w:hAnsi="標楷體" w:hint="eastAsia"/>
                <w:color w:val="000000"/>
                <w:sz w:val="24"/>
                <w:szCs w:val="24"/>
              </w:rPr>
              <w:t>爰</w:t>
            </w:r>
            <w:proofErr w:type="gramEnd"/>
            <w:r w:rsidRPr="00C07BAE">
              <w:rPr>
                <w:rFonts w:eastAsia="標楷體" w:hAnsi="標楷體" w:hint="eastAsia"/>
                <w:color w:val="000000"/>
                <w:sz w:val="24"/>
                <w:szCs w:val="24"/>
              </w:rPr>
              <w:t>修正第</w:t>
            </w:r>
            <w:r w:rsidRPr="00C07BAE">
              <w:rPr>
                <w:rFonts w:eastAsia="標楷體" w:hAnsi="標楷體" w:hint="eastAsia"/>
                <w:color w:val="000000"/>
                <w:sz w:val="24"/>
                <w:szCs w:val="24"/>
              </w:rPr>
              <w:t>2</w:t>
            </w:r>
            <w:r w:rsidRPr="00C07BAE">
              <w:rPr>
                <w:rFonts w:eastAsia="標楷體" w:hAnsi="標楷體" w:hint="eastAsia"/>
                <w:color w:val="000000"/>
                <w:sz w:val="24"/>
                <w:szCs w:val="24"/>
              </w:rPr>
              <w:t>項之規定。</w:t>
            </w:r>
          </w:p>
        </w:tc>
      </w:tr>
    </w:tbl>
    <w:p w14:paraId="292ED0CB" w14:textId="05EF1D78" w:rsidR="00D204C9" w:rsidRDefault="00D204C9" w:rsidP="00D204C9">
      <w:pPr>
        <w:pStyle w:val="af4"/>
        <w:snapToGrid w:val="0"/>
        <w:spacing w:before="0" w:afterLines="50" w:after="180" w:line="400" w:lineRule="exact"/>
        <w:ind w:left="1"/>
        <w:rPr>
          <w:rFonts w:ascii="標楷體" w:eastAsia="標楷體" w:hAnsi="標楷體"/>
        </w:rPr>
      </w:pPr>
      <w:bookmarkStart w:id="0" w:name="_GoBack"/>
      <w:bookmarkEnd w:id="0"/>
    </w:p>
    <w:sectPr w:rsidR="00D204C9" w:rsidSect="00C07BAE">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04F9" w14:textId="77777777" w:rsidR="00877EF1" w:rsidRDefault="00877EF1" w:rsidP="009A322E">
      <w:r>
        <w:separator/>
      </w:r>
    </w:p>
  </w:endnote>
  <w:endnote w:type="continuationSeparator" w:id="0">
    <w:p w14:paraId="024F611F" w14:textId="77777777" w:rsidR="00877EF1" w:rsidRDefault="00877EF1"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1D79" w14:textId="77777777" w:rsidR="009955C1" w:rsidRDefault="009955C1" w:rsidP="00C96FC6">
    <w:pPr>
      <w:pStyle w:val="a5"/>
      <w:jc w:val="center"/>
    </w:pPr>
    <w:r>
      <w:fldChar w:fldCharType="begin"/>
    </w:r>
    <w:r>
      <w:instrText xml:space="preserve"> PAGE   \* MERGEFORMAT </w:instrText>
    </w:r>
    <w:r>
      <w:fldChar w:fldCharType="separate"/>
    </w:r>
    <w:r w:rsidR="00D204C9" w:rsidRPr="00D204C9">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3C9B" w14:textId="77777777" w:rsidR="00877EF1" w:rsidRDefault="00877EF1" w:rsidP="009A322E">
      <w:r>
        <w:separator/>
      </w:r>
    </w:p>
  </w:footnote>
  <w:footnote w:type="continuationSeparator" w:id="0">
    <w:p w14:paraId="640010FF" w14:textId="77777777" w:rsidR="00877EF1" w:rsidRDefault="00877EF1"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C590CED"/>
    <w:multiLevelType w:val="hybridMultilevel"/>
    <w:tmpl w:val="5B787CB0"/>
    <w:lvl w:ilvl="0" w:tplc="AE8CB0E2">
      <w:start w:val="1"/>
      <w:numFmt w:val="taiwaneseCountingThousand"/>
      <w:lvlText w:val="%1、"/>
      <w:lvlJc w:val="left"/>
      <w:pPr>
        <w:ind w:left="480" w:hanging="480"/>
      </w:pPr>
      <w:rPr>
        <w:rFonts w:ascii="Book Antiqua"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9"/>
  </w:num>
  <w:num w:numId="2">
    <w:abstractNumId w:val="25"/>
  </w:num>
  <w:num w:numId="3">
    <w:abstractNumId w:val="24"/>
  </w:num>
  <w:num w:numId="4">
    <w:abstractNumId w:val="27"/>
  </w:num>
  <w:num w:numId="5">
    <w:abstractNumId w:val="28"/>
  </w:num>
  <w:num w:numId="6">
    <w:abstractNumId w:val="21"/>
  </w:num>
  <w:num w:numId="7">
    <w:abstractNumId w:val="1"/>
  </w:num>
  <w:num w:numId="8">
    <w:abstractNumId w:val="0"/>
  </w:num>
  <w:num w:numId="9">
    <w:abstractNumId w:val="9"/>
  </w:num>
  <w:num w:numId="10">
    <w:abstractNumId w:val="6"/>
  </w:num>
  <w:num w:numId="11">
    <w:abstractNumId w:val="14"/>
  </w:num>
  <w:num w:numId="12">
    <w:abstractNumId w:val="22"/>
  </w:num>
  <w:num w:numId="13">
    <w:abstractNumId w:val="17"/>
  </w:num>
  <w:num w:numId="14">
    <w:abstractNumId w:val="5"/>
  </w:num>
  <w:num w:numId="15">
    <w:abstractNumId w:val="15"/>
  </w:num>
  <w:num w:numId="16">
    <w:abstractNumId w:val="20"/>
  </w:num>
  <w:num w:numId="17">
    <w:abstractNumId w:val="26"/>
  </w:num>
  <w:num w:numId="18">
    <w:abstractNumId w:val="13"/>
  </w:num>
  <w:num w:numId="19">
    <w:abstractNumId w:val="23"/>
  </w:num>
  <w:num w:numId="20">
    <w:abstractNumId w:val="12"/>
  </w:num>
  <w:num w:numId="21">
    <w:abstractNumId w:val="8"/>
  </w:num>
  <w:num w:numId="22">
    <w:abstractNumId w:val="7"/>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num>
  <w:num w:numId="27">
    <w:abstractNumId w:val="3"/>
  </w:num>
  <w:num w:numId="28">
    <w:abstractNumId w:val="4"/>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3944"/>
    <w:rsid w:val="00005B2A"/>
    <w:rsid w:val="00006D8B"/>
    <w:rsid w:val="00007173"/>
    <w:rsid w:val="00007816"/>
    <w:rsid w:val="0001081A"/>
    <w:rsid w:val="000118B6"/>
    <w:rsid w:val="00011EBA"/>
    <w:rsid w:val="0001285E"/>
    <w:rsid w:val="00014226"/>
    <w:rsid w:val="0001477C"/>
    <w:rsid w:val="00014FED"/>
    <w:rsid w:val="000179E8"/>
    <w:rsid w:val="000253A1"/>
    <w:rsid w:val="000309E3"/>
    <w:rsid w:val="00032FC2"/>
    <w:rsid w:val="000331A5"/>
    <w:rsid w:val="000332B1"/>
    <w:rsid w:val="000379BB"/>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848B5"/>
    <w:rsid w:val="00085500"/>
    <w:rsid w:val="00090147"/>
    <w:rsid w:val="000945BA"/>
    <w:rsid w:val="00095758"/>
    <w:rsid w:val="000A048C"/>
    <w:rsid w:val="000A0EB6"/>
    <w:rsid w:val="000A1A0E"/>
    <w:rsid w:val="000A4149"/>
    <w:rsid w:val="000A4979"/>
    <w:rsid w:val="000A5E87"/>
    <w:rsid w:val="000B053B"/>
    <w:rsid w:val="000B05C0"/>
    <w:rsid w:val="000B34A1"/>
    <w:rsid w:val="000B6D60"/>
    <w:rsid w:val="000B7B46"/>
    <w:rsid w:val="000C037D"/>
    <w:rsid w:val="000C5475"/>
    <w:rsid w:val="000C5AD3"/>
    <w:rsid w:val="000C7F26"/>
    <w:rsid w:val="000D1B2F"/>
    <w:rsid w:val="000D1DD5"/>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7FA"/>
    <w:rsid w:val="000E5C20"/>
    <w:rsid w:val="000E7536"/>
    <w:rsid w:val="000F16F1"/>
    <w:rsid w:val="000F252A"/>
    <w:rsid w:val="000F59B8"/>
    <w:rsid w:val="000F611E"/>
    <w:rsid w:val="000F7B5A"/>
    <w:rsid w:val="0010066E"/>
    <w:rsid w:val="001010AB"/>
    <w:rsid w:val="0010219B"/>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15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77413"/>
    <w:rsid w:val="0018049D"/>
    <w:rsid w:val="001809C1"/>
    <w:rsid w:val="0018309C"/>
    <w:rsid w:val="0018348A"/>
    <w:rsid w:val="001858B8"/>
    <w:rsid w:val="001859CF"/>
    <w:rsid w:val="00185C51"/>
    <w:rsid w:val="00187A47"/>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0D17"/>
    <w:rsid w:val="001B2810"/>
    <w:rsid w:val="001B7A63"/>
    <w:rsid w:val="001C0A76"/>
    <w:rsid w:val="001C48EA"/>
    <w:rsid w:val="001D4C90"/>
    <w:rsid w:val="001D4C9F"/>
    <w:rsid w:val="001D53E3"/>
    <w:rsid w:val="001D5E11"/>
    <w:rsid w:val="001D705D"/>
    <w:rsid w:val="001D733C"/>
    <w:rsid w:val="001D7718"/>
    <w:rsid w:val="001D7798"/>
    <w:rsid w:val="001E0760"/>
    <w:rsid w:val="001E1219"/>
    <w:rsid w:val="001E2886"/>
    <w:rsid w:val="001E2E63"/>
    <w:rsid w:val="001E364B"/>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BBC"/>
    <w:rsid w:val="00213C0A"/>
    <w:rsid w:val="002147D1"/>
    <w:rsid w:val="00215FFE"/>
    <w:rsid w:val="00216D05"/>
    <w:rsid w:val="00217350"/>
    <w:rsid w:val="0022159E"/>
    <w:rsid w:val="002231B4"/>
    <w:rsid w:val="00223297"/>
    <w:rsid w:val="0022442A"/>
    <w:rsid w:val="002256CC"/>
    <w:rsid w:val="00225BD6"/>
    <w:rsid w:val="00226A6C"/>
    <w:rsid w:val="0023016F"/>
    <w:rsid w:val="00231980"/>
    <w:rsid w:val="00235912"/>
    <w:rsid w:val="0023662E"/>
    <w:rsid w:val="00241CD6"/>
    <w:rsid w:val="00242367"/>
    <w:rsid w:val="00242594"/>
    <w:rsid w:val="00243687"/>
    <w:rsid w:val="00245E59"/>
    <w:rsid w:val="00246D0D"/>
    <w:rsid w:val="002472B9"/>
    <w:rsid w:val="00251ABD"/>
    <w:rsid w:val="002521F2"/>
    <w:rsid w:val="002527FD"/>
    <w:rsid w:val="00254632"/>
    <w:rsid w:val="0025577F"/>
    <w:rsid w:val="00256AB3"/>
    <w:rsid w:val="002574A1"/>
    <w:rsid w:val="00257784"/>
    <w:rsid w:val="00261CB1"/>
    <w:rsid w:val="00262F11"/>
    <w:rsid w:val="002637AD"/>
    <w:rsid w:val="002648A8"/>
    <w:rsid w:val="00264A2A"/>
    <w:rsid w:val="0026584E"/>
    <w:rsid w:val="00267CA2"/>
    <w:rsid w:val="00267E1C"/>
    <w:rsid w:val="002700CD"/>
    <w:rsid w:val="00271565"/>
    <w:rsid w:val="00275C70"/>
    <w:rsid w:val="002764F7"/>
    <w:rsid w:val="00277DCC"/>
    <w:rsid w:val="00282491"/>
    <w:rsid w:val="002837A0"/>
    <w:rsid w:val="00283D48"/>
    <w:rsid w:val="00283E23"/>
    <w:rsid w:val="002864DC"/>
    <w:rsid w:val="002901DB"/>
    <w:rsid w:val="00292A3D"/>
    <w:rsid w:val="002940E5"/>
    <w:rsid w:val="002952D8"/>
    <w:rsid w:val="00297764"/>
    <w:rsid w:val="002A00C8"/>
    <w:rsid w:val="002A26F6"/>
    <w:rsid w:val="002A39A5"/>
    <w:rsid w:val="002A50F2"/>
    <w:rsid w:val="002A51A6"/>
    <w:rsid w:val="002A5212"/>
    <w:rsid w:val="002A578A"/>
    <w:rsid w:val="002A67C0"/>
    <w:rsid w:val="002A69EC"/>
    <w:rsid w:val="002A6C15"/>
    <w:rsid w:val="002B232C"/>
    <w:rsid w:val="002B23A7"/>
    <w:rsid w:val="002B4704"/>
    <w:rsid w:val="002B4CA7"/>
    <w:rsid w:val="002B5473"/>
    <w:rsid w:val="002C1821"/>
    <w:rsid w:val="002C2560"/>
    <w:rsid w:val="002C49D2"/>
    <w:rsid w:val="002C5503"/>
    <w:rsid w:val="002C5A70"/>
    <w:rsid w:val="002C602F"/>
    <w:rsid w:val="002D083C"/>
    <w:rsid w:val="002D1790"/>
    <w:rsid w:val="002D2897"/>
    <w:rsid w:val="002D44DC"/>
    <w:rsid w:val="002D4BA0"/>
    <w:rsid w:val="002E107E"/>
    <w:rsid w:val="002E4079"/>
    <w:rsid w:val="002E54B9"/>
    <w:rsid w:val="002E6248"/>
    <w:rsid w:val="002F0A6F"/>
    <w:rsid w:val="002F19CD"/>
    <w:rsid w:val="002F2AAA"/>
    <w:rsid w:val="002F2DC4"/>
    <w:rsid w:val="002F389A"/>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288F"/>
    <w:rsid w:val="003161A8"/>
    <w:rsid w:val="00316544"/>
    <w:rsid w:val="00316920"/>
    <w:rsid w:val="00317362"/>
    <w:rsid w:val="00320BBD"/>
    <w:rsid w:val="00320BBE"/>
    <w:rsid w:val="00322FFF"/>
    <w:rsid w:val="00323F6A"/>
    <w:rsid w:val="00326BCA"/>
    <w:rsid w:val="00327AD3"/>
    <w:rsid w:val="003328D8"/>
    <w:rsid w:val="003334E4"/>
    <w:rsid w:val="00333FCB"/>
    <w:rsid w:val="00334CAC"/>
    <w:rsid w:val="00337FD8"/>
    <w:rsid w:val="00341B1F"/>
    <w:rsid w:val="00343584"/>
    <w:rsid w:val="00344D10"/>
    <w:rsid w:val="00344EAF"/>
    <w:rsid w:val="0034677A"/>
    <w:rsid w:val="00350DCD"/>
    <w:rsid w:val="0035144C"/>
    <w:rsid w:val="00351570"/>
    <w:rsid w:val="00354FFD"/>
    <w:rsid w:val="003552F5"/>
    <w:rsid w:val="003610D6"/>
    <w:rsid w:val="003618A1"/>
    <w:rsid w:val="00361CC5"/>
    <w:rsid w:val="003653CB"/>
    <w:rsid w:val="00370AD6"/>
    <w:rsid w:val="003711F4"/>
    <w:rsid w:val="00372035"/>
    <w:rsid w:val="003728E4"/>
    <w:rsid w:val="0037308A"/>
    <w:rsid w:val="00373B4D"/>
    <w:rsid w:val="003741A6"/>
    <w:rsid w:val="003761CE"/>
    <w:rsid w:val="0037687A"/>
    <w:rsid w:val="00377E1C"/>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5D1"/>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D3D"/>
    <w:rsid w:val="003F5E50"/>
    <w:rsid w:val="003F6709"/>
    <w:rsid w:val="003F6EE3"/>
    <w:rsid w:val="003F70CC"/>
    <w:rsid w:val="00400862"/>
    <w:rsid w:val="00400A03"/>
    <w:rsid w:val="0040104A"/>
    <w:rsid w:val="0040137D"/>
    <w:rsid w:val="004020FC"/>
    <w:rsid w:val="00402240"/>
    <w:rsid w:val="004031C5"/>
    <w:rsid w:val="00404C11"/>
    <w:rsid w:val="004061D3"/>
    <w:rsid w:val="004064B1"/>
    <w:rsid w:val="00410A92"/>
    <w:rsid w:val="00410DB5"/>
    <w:rsid w:val="00411FBB"/>
    <w:rsid w:val="0041458A"/>
    <w:rsid w:val="004174DC"/>
    <w:rsid w:val="00420C34"/>
    <w:rsid w:val="00425904"/>
    <w:rsid w:val="00425A28"/>
    <w:rsid w:val="00425DB5"/>
    <w:rsid w:val="0042702C"/>
    <w:rsid w:val="00427756"/>
    <w:rsid w:val="00432069"/>
    <w:rsid w:val="00432696"/>
    <w:rsid w:val="0043314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BF0"/>
    <w:rsid w:val="004930BB"/>
    <w:rsid w:val="00493C15"/>
    <w:rsid w:val="004953A2"/>
    <w:rsid w:val="00497044"/>
    <w:rsid w:val="00497096"/>
    <w:rsid w:val="004979CA"/>
    <w:rsid w:val="004A0D9F"/>
    <w:rsid w:val="004A13FA"/>
    <w:rsid w:val="004A2819"/>
    <w:rsid w:val="004A485C"/>
    <w:rsid w:val="004A57C6"/>
    <w:rsid w:val="004A6F4B"/>
    <w:rsid w:val="004B094F"/>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21A2"/>
    <w:rsid w:val="00505F4E"/>
    <w:rsid w:val="00506650"/>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5F7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9081D"/>
    <w:rsid w:val="00593A2D"/>
    <w:rsid w:val="00593CBF"/>
    <w:rsid w:val="00595E9A"/>
    <w:rsid w:val="00595FE5"/>
    <w:rsid w:val="005972C1"/>
    <w:rsid w:val="005A0672"/>
    <w:rsid w:val="005A08F9"/>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5A3B"/>
    <w:rsid w:val="005D6C0A"/>
    <w:rsid w:val="005D71D5"/>
    <w:rsid w:val="005D7B80"/>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EB0"/>
    <w:rsid w:val="00613672"/>
    <w:rsid w:val="006174A2"/>
    <w:rsid w:val="006176E1"/>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236"/>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5B3A"/>
    <w:rsid w:val="006E6D21"/>
    <w:rsid w:val="006E7C73"/>
    <w:rsid w:val="006F031C"/>
    <w:rsid w:val="006F05BC"/>
    <w:rsid w:val="006F1564"/>
    <w:rsid w:val="006F1F1C"/>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834"/>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73BC"/>
    <w:rsid w:val="00747747"/>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B35"/>
    <w:rsid w:val="00790CC7"/>
    <w:rsid w:val="00790E94"/>
    <w:rsid w:val="00791E26"/>
    <w:rsid w:val="00793181"/>
    <w:rsid w:val="007942F7"/>
    <w:rsid w:val="007946B9"/>
    <w:rsid w:val="007950CF"/>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D186E"/>
    <w:rsid w:val="007D2437"/>
    <w:rsid w:val="007D31AB"/>
    <w:rsid w:val="007D3BD4"/>
    <w:rsid w:val="007D40B6"/>
    <w:rsid w:val="007D45EE"/>
    <w:rsid w:val="007D5C36"/>
    <w:rsid w:val="007D65B2"/>
    <w:rsid w:val="007D6BDC"/>
    <w:rsid w:val="007D6C4C"/>
    <w:rsid w:val="007D6CDC"/>
    <w:rsid w:val="007D7141"/>
    <w:rsid w:val="007D72B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47753"/>
    <w:rsid w:val="00851048"/>
    <w:rsid w:val="008516CC"/>
    <w:rsid w:val="00851CCD"/>
    <w:rsid w:val="008524D9"/>
    <w:rsid w:val="0085342D"/>
    <w:rsid w:val="008556B3"/>
    <w:rsid w:val="00855B56"/>
    <w:rsid w:val="0085630C"/>
    <w:rsid w:val="00856A02"/>
    <w:rsid w:val="008576C8"/>
    <w:rsid w:val="00857DBA"/>
    <w:rsid w:val="00863B51"/>
    <w:rsid w:val="00866F58"/>
    <w:rsid w:val="00867D8B"/>
    <w:rsid w:val="00872CB2"/>
    <w:rsid w:val="00872F84"/>
    <w:rsid w:val="00873C7E"/>
    <w:rsid w:val="00876840"/>
    <w:rsid w:val="00876897"/>
    <w:rsid w:val="008777E3"/>
    <w:rsid w:val="00877EF1"/>
    <w:rsid w:val="00883CD6"/>
    <w:rsid w:val="008840C1"/>
    <w:rsid w:val="0088429C"/>
    <w:rsid w:val="00884B56"/>
    <w:rsid w:val="00887AC2"/>
    <w:rsid w:val="00890A75"/>
    <w:rsid w:val="00891A5A"/>
    <w:rsid w:val="00892234"/>
    <w:rsid w:val="008930DD"/>
    <w:rsid w:val="008939A9"/>
    <w:rsid w:val="00894638"/>
    <w:rsid w:val="00894714"/>
    <w:rsid w:val="00896060"/>
    <w:rsid w:val="008A1685"/>
    <w:rsid w:val="008A51EB"/>
    <w:rsid w:val="008A5C35"/>
    <w:rsid w:val="008B3E86"/>
    <w:rsid w:val="008B465F"/>
    <w:rsid w:val="008B5DAD"/>
    <w:rsid w:val="008B64CB"/>
    <w:rsid w:val="008B7866"/>
    <w:rsid w:val="008C1BB8"/>
    <w:rsid w:val="008C1EA4"/>
    <w:rsid w:val="008C234E"/>
    <w:rsid w:val="008C44FF"/>
    <w:rsid w:val="008C67E8"/>
    <w:rsid w:val="008C7C24"/>
    <w:rsid w:val="008D06F9"/>
    <w:rsid w:val="008D10FC"/>
    <w:rsid w:val="008D3849"/>
    <w:rsid w:val="008D5989"/>
    <w:rsid w:val="008D5C34"/>
    <w:rsid w:val="008D7D58"/>
    <w:rsid w:val="008D7D63"/>
    <w:rsid w:val="008E09D9"/>
    <w:rsid w:val="008E109B"/>
    <w:rsid w:val="008E13D9"/>
    <w:rsid w:val="008E1812"/>
    <w:rsid w:val="008E18A6"/>
    <w:rsid w:val="008E2100"/>
    <w:rsid w:val="008E4880"/>
    <w:rsid w:val="008E6762"/>
    <w:rsid w:val="008E6E98"/>
    <w:rsid w:val="008E7764"/>
    <w:rsid w:val="008F0D8C"/>
    <w:rsid w:val="008F0DC5"/>
    <w:rsid w:val="008F325C"/>
    <w:rsid w:val="008F341F"/>
    <w:rsid w:val="008F3604"/>
    <w:rsid w:val="008F4C53"/>
    <w:rsid w:val="00902C1C"/>
    <w:rsid w:val="00903132"/>
    <w:rsid w:val="009035DA"/>
    <w:rsid w:val="00904B88"/>
    <w:rsid w:val="00905FDF"/>
    <w:rsid w:val="009066DC"/>
    <w:rsid w:val="00907289"/>
    <w:rsid w:val="00907BD0"/>
    <w:rsid w:val="00907CC2"/>
    <w:rsid w:val="00910715"/>
    <w:rsid w:val="00912553"/>
    <w:rsid w:val="00912779"/>
    <w:rsid w:val="00913D6C"/>
    <w:rsid w:val="009177C4"/>
    <w:rsid w:val="0092169B"/>
    <w:rsid w:val="00921B88"/>
    <w:rsid w:val="0092303F"/>
    <w:rsid w:val="009232CF"/>
    <w:rsid w:val="00925362"/>
    <w:rsid w:val="00925E97"/>
    <w:rsid w:val="00927AB8"/>
    <w:rsid w:val="0093160C"/>
    <w:rsid w:val="00931C03"/>
    <w:rsid w:val="009320B0"/>
    <w:rsid w:val="009325D9"/>
    <w:rsid w:val="009332CF"/>
    <w:rsid w:val="00933ECF"/>
    <w:rsid w:val="00934FCB"/>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132E"/>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5C1"/>
    <w:rsid w:val="00995BD1"/>
    <w:rsid w:val="00996EF2"/>
    <w:rsid w:val="00997BFF"/>
    <w:rsid w:val="009A0F9B"/>
    <w:rsid w:val="009A2063"/>
    <w:rsid w:val="009A322E"/>
    <w:rsid w:val="009A4A79"/>
    <w:rsid w:val="009A6C56"/>
    <w:rsid w:val="009B1439"/>
    <w:rsid w:val="009B4287"/>
    <w:rsid w:val="009B4328"/>
    <w:rsid w:val="009B518E"/>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E7836"/>
    <w:rsid w:val="009F4618"/>
    <w:rsid w:val="009F6777"/>
    <w:rsid w:val="009F699A"/>
    <w:rsid w:val="009F7319"/>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6BBA"/>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561D5"/>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A39"/>
    <w:rsid w:val="00AD33A0"/>
    <w:rsid w:val="00AD52C2"/>
    <w:rsid w:val="00AD5954"/>
    <w:rsid w:val="00AD6372"/>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119F"/>
    <w:rsid w:val="00B03CA9"/>
    <w:rsid w:val="00B067A4"/>
    <w:rsid w:val="00B07320"/>
    <w:rsid w:val="00B1135D"/>
    <w:rsid w:val="00B113E7"/>
    <w:rsid w:val="00B119AC"/>
    <w:rsid w:val="00B138B5"/>
    <w:rsid w:val="00B13E59"/>
    <w:rsid w:val="00B1430A"/>
    <w:rsid w:val="00B14586"/>
    <w:rsid w:val="00B14855"/>
    <w:rsid w:val="00B154D6"/>
    <w:rsid w:val="00B169E7"/>
    <w:rsid w:val="00B20BD7"/>
    <w:rsid w:val="00B219EE"/>
    <w:rsid w:val="00B23535"/>
    <w:rsid w:val="00B237EA"/>
    <w:rsid w:val="00B24915"/>
    <w:rsid w:val="00B25CB4"/>
    <w:rsid w:val="00B26D6A"/>
    <w:rsid w:val="00B272D6"/>
    <w:rsid w:val="00B27FB7"/>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3ECC"/>
    <w:rsid w:val="00B45EFA"/>
    <w:rsid w:val="00B565A9"/>
    <w:rsid w:val="00B61939"/>
    <w:rsid w:val="00B61F98"/>
    <w:rsid w:val="00B63E70"/>
    <w:rsid w:val="00B65DEB"/>
    <w:rsid w:val="00B66118"/>
    <w:rsid w:val="00B70617"/>
    <w:rsid w:val="00B70758"/>
    <w:rsid w:val="00B7086C"/>
    <w:rsid w:val="00B72E09"/>
    <w:rsid w:val="00B73426"/>
    <w:rsid w:val="00B761D0"/>
    <w:rsid w:val="00B761D8"/>
    <w:rsid w:val="00B76939"/>
    <w:rsid w:val="00B80470"/>
    <w:rsid w:val="00B81266"/>
    <w:rsid w:val="00B8137F"/>
    <w:rsid w:val="00B81CC3"/>
    <w:rsid w:val="00B84A6C"/>
    <w:rsid w:val="00B863BE"/>
    <w:rsid w:val="00B87F2C"/>
    <w:rsid w:val="00B90242"/>
    <w:rsid w:val="00B91763"/>
    <w:rsid w:val="00B92E77"/>
    <w:rsid w:val="00B94926"/>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D6"/>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07BAE"/>
    <w:rsid w:val="00C11323"/>
    <w:rsid w:val="00C13C59"/>
    <w:rsid w:val="00C149DF"/>
    <w:rsid w:val="00C15057"/>
    <w:rsid w:val="00C17039"/>
    <w:rsid w:val="00C2018D"/>
    <w:rsid w:val="00C21161"/>
    <w:rsid w:val="00C21983"/>
    <w:rsid w:val="00C21E21"/>
    <w:rsid w:val="00C24D9E"/>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2AF7"/>
    <w:rsid w:val="00C43AA7"/>
    <w:rsid w:val="00C43E1A"/>
    <w:rsid w:val="00C442CE"/>
    <w:rsid w:val="00C44604"/>
    <w:rsid w:val="00C4473B"/>
    <w:rsid w:val="00C44B5A"/>
    <w:rsid w:val="00C44FD2"/>
    <w:rsid w:val="00C45567"/>
    <w:rsid w:val="00C466D7"/>
    <w:rsid w:val="00C4678B"/>
    <w:rsid w:val="00C478DD"/>
    <w:rsid w:val="00C504FF"/>
    <w:rsid w:val="00C506BF"/>
    <w:rsid w:val="00C51FD4"/>
    <w:rsid w:val="00C5240F"/>
    <w:rsid w:val="00C55A0B"/>
    <w:rsid w:val="00C56880"/>
    <w:rsid w:val="00C57604"/>
    <w:rsid w:val="00C612EC"/>
    <w:rsid w:val="00C623A2"/>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084E"/>
    <w:rsid w:val="00C926CF"/>
    <w:rsid w:val="00C94CCB"/>
    <w:rsid w:val="00C9590B"/>
    <w:rsid w:val="00C968B7"/>
    <w:rsid w:val="00C96AC6"/>
    <w:rsid w:val="00C96CDB"/>
    <w:rsid w:val="00C96FC6"/>
    <w:rsid w:val="00C97055"/>
    <w:rsid w:val="00C97F15"/>
    <w:rsid w:val="00CA5FDA"/>
    <w:rsid w:val="00CA7A63"/>
    <w:rsid w:val="00CB20FD"/>
    <w:rsid w:val="00CB31B0"/>
    <w:rsid w:val="00CB40C7"/>
    <w:rsid w:val="00CB467A"/>
    <w:rsid w:val="00CB4D27"/>
    <w:rsid w:val="00CB5EFD"/>
    <w:rsid w:val="00CB6E77"/>
    <w:rsid w:val="00CB7F8B"/>
    <w:rsid w:val="00CC0851"/>
    <w:rsid w:val="00CC0CBD"/>
    <w:rsid w:val="00CC13DD"/>
    <w:rsid w:val="00CC36F5"/>
    <w:rsid w:val="00CC3AB5"/>
    <w:rsid w:val="00CC44E0"/>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9EF"/>
    <w:rsid w:val="00D03FF1"/>
    <w:rsid w:val="00D047E7"/>
    <w:rsid w:val="00D04971"/>
    <w:rsid w:val="00D04AFB"/>
    <w:rsid w:val="00D04EFE"/>
    <w:rsid w:val="00D05594"/>
    <w:rsid w:val="00D059F1"/>
    <w:rsid w:val="00D063A0"/>
    <w:rsid w:val="00D06500"/>
    <w:rsid w:val="00D07CE5"/>
    <w:rsid w:val="00D11AA0"/>
    <w:rsid w:val="00D1649C"/>
    <w:rsid w:val="00D204C7"/>
    <w:rsid w:val="00D204C9"/>
    <w:rsid w:val="00D21914"/>
    <w:rsid w:val="00D223AD"/>
    <w:rsid w:val="00D23DBF"/>
    <w:rsid w:val="00D24E0D"/>
    <w:rsid w:val="00D267E1"/>
    <w:rsid w:val="00D3163C"/>
    <w:rsid w:val="00D320C5"/>
    <w:rsid w:val="00D32DC7"/>
    <w:rsid w:val="00D344DA"/>
    <w:rsid w:val="00D34827"/>
    <w:rsid w:val="00D35B5D"/>
    <w:rsid w:val="00D36F36"/>
    <w:rsid w:val="00D37DFB"/>
    <w:rsid w:val="00D40438"/>
    <w:rsid w:val="00D43D4E"/>
    <w:rsid w:val="00D44128"/>
    <w:rsid w:val="00D4546E"/>
    <w:rsid w:val="00D45643"/>
    <w:rsid w:val="00D459AF"/>
    <w:rsid w:val="00D462FA"/>
    <w:rsid w:val="00D464A0"/>
    <w:rsid w:val="00D464C5"/>
    <w:rsid w:val="00D50DC1"/>
    <w:rsid w:val="00D513DE"/>
    <w:rsid w:val="00D55645"/>
    <w:rsid w:val="00D55B68"/>
    <w:rsid w:val="00D57B6A"/>
    <w:rsid w:val="00D604B9"/>
    <w:rsid w:val="00D6115E"/>
    <w:rsid w:val="00D6219E"/>
    <w:rsid w:val="00D62FCE"/>
    <w:rsid w:val="00D63A05"/>
    <w:rsid w:val="00D63C74"/>
    <w:rsid w:val="00D647B9"/>
    <w:rsid w:val="00D64B0F"/>
    <w:rsid w:val="00D6529E"/>
    <w:rsid w:val="00D65F4B"/>
    <w:rsid w:val="00D70F58"/>
    <w:rsid w:val="00D7191B"/>
    <w:rsid w:val="00D72DC3"/>
    <w:rsid w:val="00D733DF"/>
    <w:rsid w:val="00D74284"/>
    <w:rsid w:val="00D75624"/>
    <w:rsid w:val="00D76D04"/>
    <w:rsid w:val="00D8046F"/>
    <w:rsid w:val="00D87551"/>
    <w:rsid w:val="00D90196"/>
    <w:rsid w:val="00D902E6"/>
    <w:rsid w:val="00D90A48"/>
    <w:rsid w:val="00D94C60"/>
    <w:rsid w:val="00D9762A"/>
    <w:rsid w:val="00DA019C"/>
    <w:rsid w:val="00DA1DFC"/>
    <w:rsid w:val="00DA3F2D"/>
    <w:rsid w:val="00DA6882"/>
    <w:rsid w:val="00DA6A09"/>
    <w:rsid w:val="00DA7E00"/>
    <w:rsid w:val="00DB254F"/>
    <w:rsid w:val="00DB2761"/>
    <w:rsid w:val="00DB2D67"/>
    <w:rsid w:val="00DB501D"/>
    <w:rsid w:val="00DB6411"/>
    <w:rsid w:val="00DB6A90"/>
    <w:rsid w:val="00DC2F3A"/>
    <w:rsid w:val="00DC337B"/>
    <w:rsid w:val="00DC3510"/>
    <w:rsid w:val="00DC4B9A"/>
    <w:rsid w:val="00DC548E"/>
    <w:rsid w:val="00DC5528"/>
    <w:rsid w:val="00DD3333"/>
    <w:rsid w:val="00DD3CD3"/>
    <w:rsid w:val="00DD46AA"/>
    <w:rsid w:val="00DD530B"/>
    <w:rsid w:val="00DD5C2E"/>
    <w:rsid w:val="00DD60E7"/>
    <w:rsid w:val="00DE065F"/>
    <w:rsid w:val="00DE1F01"/>
    <w:rsid w:val="00DE2541"/>
    <w:rsid w:val="00DE55A2"/>
    <w:rsid w:val="00DE5B2E"/>
    <w:rsid w:val="00DE5D27"/>
    <w:rsid w:val="00DE6E09"/>
    <w:rsid w:val="00DF2217"/>
    <w:rsid w:val="00DF25A0"/>
    <w:rsid w:val="00DF4486"/>
    <w:rsid w:val="00DF4D7F"/>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1F75"/>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319C"/>
    <w:rsid w:val="00E5561F"/>
    <w:rsid w:val="00E5598B"/>
    <w:rsid w:val="00E6057E"/>
    <w:rsid w:val="00E62659"/>
    <w:rsid w:val="00E636B2"/>
    <w:rsid w:val="00E63A3D"/>
    <w:rsid w:val="00E641E8"/>
    <w:rsid w:val="00E6423A"/>
    <w:rsid w:val="00E66512"/>
    <w:rsid w:val="00E6691A"/>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4119"/>
    <w:rsid w:val="00EA4D83"/>
    <w:rsid w:val="00EA666D"/>
    <w:rsid w:val="00EA6D24"/>
    <w:rsid w:val="00EA7DC5"/>
    <w:rsid w:val="00EB0546"/>
    <w:rsid w:val="00EB0CF7"/>
    <w:rsid w:val="00EB48E7"/>
    <w:rsid w:val="00EB6644"/>
    <w:rsid w:val="00EB6A8E"/>
    <w:rsid w:val="00EB7602"/>
    <w:rsid w:val="00EB7ED5"/>
    <w:rsid w:val="00EC00F0"/>
    <w:rsid w:val="00EC33A2"/>
    <w:rsid w:val="00EC3F27"/>
    <w:rsid w:val="00EC432A"/>
    <w:rsid w:val="00EC4F44"/>
    <w:rsid w:val="00EC5FB6"/>
    <w:rsid w:val="00EC602C"/>
    <w:rsid w:val="00ED0115"/>
    <w:rsid w:val="00ED128E"/>
    <w:rsid w:val="00ED5151"/>
    <w:rsid w:val="00ED6339"/>
    <w:rsid w:val="00ED67D3"/>
    <w:rsid w:val="00ED78D9"/>
    <w:rsid w:val="00EE04E1"/>
    <w:rsid w:val="00EE16E1"/>
    <w:rsid w:val="00EE7EC2"/>
    <w:rsid w:val="00EF01CB"/>
    <w:rsid w:val="00EF0782"/>
    <w:rsid w:val="00EF2495"/>
    <w:rsid w:val="00EF4446"/>
    <w:rsid w:val="00EF4999"/>
    <w:rsid w:val="00EF6148"/>
    <w:rsid w:val="00EF628C"/>
    <w:rsid w:val="00EF71B0"/>
    <w:rsid w:val="00EF71FE"/>
    <w:rsid w:val="00F001BD"/>
    <w:rsid w:val="00F00536"/>
    <w:rsid w:val="00F00767"/>
    <w:rsid w:val="00F01554"/>
    <w:rsid w:val="00F040A3"/>
    <w:rsid w:val="00F0567E"/>
    <w:rsid w:val="00F05732"/>
    <w:rsid w:val="00F06E2A"/>
    <w:rsid w:val="00F102D2"/>
    <w:rsid w:val="00F11B38"/>
    <w:rsid w:val="00F127B3"/>
    <w:rsid w:val="00F150F8"/>
    <w:rsid w:val="00F15671"/>
    <w:rsid w:val="00F159C8"/>
    <w:rsid w:val="00F15FA5"/>
    <w:rsid w:val="00F16BF0"/>
    <w:rsid w:val="00F16C6D"/>
    <w:rsid w:val="00F174A3"/>
    <w:rsid w:val="00F2088A"/>
    <w:rsid w:val="00F22E4B"/>
    <w:rsid w:val="00F237E5"/>
    <w:rsid w:val="00F23D18"/>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0751"/>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66DE"/>
    <w:rsid w:val="00F87BE8"/>
    <w:rsid w:val="00F9061A"/>
    <w:rsid w:val="00F90A1B"/>
    <w:rsid w:val="00F933BE"/>
    <w:rsid w:val="00F9436E"/>
    <w:rsid w:val="00F94A1B"/>
    <w:rsid w:val="00F97E42"/>
    <w:rsid w:val="00FA1A34"/>
    <w:rsid w:val="00FA26FE"/>
    <w:rsid w:val="00FA34BD"/>
    <w:rsid w:val="00FA387E"/>
    <w:rsid w:val="00FA4E9F"/>
    <w:rsid w:val="00FA6086"/>
    <w:rsid w:val="00FB2415"/>
    <w:rsid w:val="00FB33AE"/>
    <w:rsid w:val="00FB3699"/>
    <w:rsid w:val="00FB3FCA"/>
    <w:rsid w:val="00FB40BE"/>
    <w:rsid w:val="00FB64C6"/>
    <w:rsid w:val="00FB7616"/>
    <w:rsid w:val="00FB7637"/>
    <w:rsid w:val="00FC1225"/>
    <w:rsid w:val="00FC2B78"/>
    <w:rsid w:val="00FC7402"/>
    <w:rsid w:val="00FD3FD5"/>
    <w:rsid w:val="00FD49A5"/>
    <w:rsid w:val="00FD6916"/>
    <w:rsid w:val="00FD6B24"/>
    <w:rsid w:val="00FD74ED"/>
    <w:rsid w:val="00FE25C0"/>
    <w:rsid w:val="00FE323E"/>
    <w:rsid w:val="00FE41D3"/>
    <w:rsid w:val="00FE55CE"/>
    <w:rsid w:val="00FE7B07"/>
    <w:rsid w:val="00FF376F"/>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15:chartTrackingRefBased/>
  <w15:docId w15:val="{93A65983-4978-45D1-AA43-83E3D559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3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DBB7-97AC-49B7-9587-E7674358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3</cp:revision>
  <cp:lastPrinted>2018-11-19T06:21:00Z</cp:lastPrinted>
  <dcterms:created xsi:type="dcterms:W3CDTF">2018-11-20T08:27:00Z</dcterms:created>
  <dcterms:modified xsi:type="dcterms:W3CDTF">2018-11-20T08:36:00Z</dcterms:modified>
</cp:coreProperties>
</file>