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ED0CB" w14:textId="51AAE577" w:rsidR="001B2810" w:rsidRPr="00747747" w:rsidRDefault="001B2810" w:rsidP="00007816">
      <w:pPr>
        <w:pStyle w:val="af4"/>
        <w:snapToGrid w:val="0"/>
        <w:spacing w:before="0" w:afterLines="50" w:after="180" w:line="400" w:lineRule="exact"/>
        <w:ind w:left="1"/>
        <w:rPr>
          <w:rFonts w:ascii="標楷體" w:eastAsia="標楷體" w:hAnsi="標楷體"/>
          <w:snapToGrid w:val="0"/>
          <w:sz w:val="28"/>
          <w:szCs w:val="28"/>
        </w:rPr>
      </w:pPr>
      <w:r w:rsidRPr="00747747">
        <w:rPr>
          <w:rFonts w:ascii="標楷體" w:eastAsia="標楷體" w:hAnsi="標楷體" w:hint="eastAsia"/>
          <w:snapToGrid w:val="0"/>
          <w:sz w:val="28"/>
          <w:szCs w:val="28"/>
        </w:rPr>
        <w:t>財</w:t>
      </w:r>
      <w:r w:rsidRPr="00747747">
        <w:rPr>
          <w:rFonts w:ascii="標楷體" w:eastAsia="標楷體" w:hAnsi="標楷體"/>
          <w:snapToGrid w:val="0"/>
          <w:sz w:val="28"/>
          <w:szCs w:val="28"/>
        </w:rPr>
        <w:t>團法人中華民國證券櫃檯買賣中心指數股票型基金受益憑證流動量提供者</w:t>
      </w:r>
      <w:r w:rsidR="00007816">
        <w:rPr>
          <w:rFonts w:ascii="標楷體" w:eastAsia="標楷體" w:hAnsi="標楷體"/>
          <w:snapToGrid w:val="0"/>
          <w:sz w:val="28"/>
          <w:szCs w:val="28"/>
        </w:rPr>
        <w:br/>
      </w:r>
      <w:r w:rsidRPr="00747747">
        <w:rPr>
          <w:rFonts w:ascii="標楷體" w:eastAsia="標楷體" w:hAnsi="標楷體"/>
          <w:snapToGrid w:val="0"/>
          <w:sz w:val="28"/>
          <w:szCs w:val="28"/>
        </w:rPr>
        <w:t>作業要點</w:t>
      </w:r>
      <w:r w:rsidR="008840C1" w:rsidRPr="00747747">
        <w:rPr>
          <w:rFonts w:ascii="標楷體" w:eastAsia="標楷體" w:hAnsi="標楷體" w:hint="eastAsia"/>
          <w:snapToGrid w:val="0"/>
          <w:sz w:val="28"/>
          <w:szCs w:val="28"/>
        </w:rPr>
        <w:t>部分條文</w:t>
      </w:r>
      <w:r w:rsidRPr="00747747">
        <w:rPr>
          <w:rFonts w:ascii="標楷體" w:eastAsia="標楷體" w:hAnsi="標楷體" w:hint="eastAsia"/>
          <w:snapToGrid w:val="0"/>
          <w:sz w:val="28"/>
          <w:szCs w:val="28"/>
        </w:rPr>
        <w:t>修正條文對照表</w:t>
      </w:r>
    </w:p>
    <w:tbl>
      <w:tblPr>
        <w:tblW w:w="963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3210"/>
        <w:gridCol w:w="3210"/>
        <w:gridCol w:w="3211"/>
      </w:tblGrid>
      <w:tr w:rsidR="007950CF" w:rsidRPr="007950CF" w14:paraId="5A7F3749" w14:textId="77777777" w:rsidTr="006B3236">
        <w:trPr>
          <w:tblHeader/>
          <w:jc w:val="center"/>
        </w:trPr>
        <w:tc>
          <w:tcPr>
            <w:tcW w:w="3210" w:type="dxa"/>
            <w:vAlign w:val="center"/>
          </w:tcPr>
          <w:p w14:paraId="040CB658" w14:textId="77777777" w:rsidR="007950CF" w:rsidRPr="007950CF" w:rsidRDefault="007950CF" w:rsidP="00BA1534">
            <w:pPr>
              <w:widowControl/>
              <w:jc w:val="center"/>
              <w:rPr>
                <w:rFonts w:ascii="Times New Roman" w:eastAsia="標楷體" w:hAnsi="Times New Roman" w:cs="新細明體"/>
                <w:bCs/>
                <w:sz w:val="24"/>
                <w:szCs w:val="24"/>
              </w:rPr>
            </w:pPr>
            <w:r w:rsidRPr="007950CF">
              <w:rPr>
                <w:rFonts w:ascii="Times New Roman" w:eastAsia="標楷體" w:hAnsi="新細明體" w:cs="新細明體" w:hint="eastAsia"/>
                <w:bCs/>
                <w:sz w:val="24"/>
                <w:szCs w:val="24"/>
              </w:rPr>
              <w:t>修正條文</w:t>
            </w:r>
          </w:p>
        </w:tc>
        <w:tc>
          <w:tcPr>
            <w:tcW w:w="3210" w:type="dxa"/>
            <w:vAlign w:val="center"/>
          </w:tcPr>
          <w:p w14:paraId="76BC0317" w14:textId="77777777" w:rsidR="007950CF" w:rsidRPr="007950CF" w:rsidRDefault="007950CF" w:rsidP="001B2810">
            <w:pPr>
              <w:widowControl/>
              <w:jc w:val="center"/>
              <w:rPr>
                <w:rFonts w:ascii="Times New Roman" w:eastAsia="標楷體" w:hAnsi="Times New Roman" w:cs="新細明體"/>
                <w:bCs/>
                <w:sz w:val="24"/>
                <w:szCs w:val="24"/>
              </w:rPr>
            </w:pPr>
            <w:r w:rsidRPr="007950CF">
              <w:rPr>
                <w:rFonts w:ascii="Times New Roman" w:eastAsia="標楷體" w:hAnsi="Times New Roman" w:cs="新細明體" w:hint="eastAsia"/>
                <w:bCs/>
                <w:sz w:val="24"/>
                <w:szCs w:val="24"/>
              </w:rPr>
              <w:t>現行條文</w:t>
            </w:r>
          </w:p>
        </w:tc>
        <w:tc>
          <w:tcPr>
            <w:tcW w:w="3211" w:type="dxa"/>
            <w:vAlign w:val="center"/>
          </w:tcPr>
          <w:p w14:paraId="249DF2FA" w14:textId="77777777" w:rsidR="007950CF" w:rsidRPr="007950CF" w:rsidRDefault="007950CF" w:rsidP="00BA1534">
            <w:pPr>
              <w:widowControl/>
              <w:jc w:val="center"/>
              <w:rPr>
                <w:rFonts w:ascii="Times New Roman" w:eastAsia="標楷體" w:hAnsi="Times New Roman" w:cs="新細明體"/>
                <w:bCs/>
                <w:sz w:val="24"/>
                <w:szCs w:val="24"/>
              </w:rPr>
            </w:pPr>
            <w:r w:rsidRPr="007950CF">
              <w:rPr>
                <w:rFonts w:ascii="Times New Roman" w:eastAsia="標楷體" w:hAnsi="新細明體" w:cs="新細明體" w:hint="eastAsia"/>
                <w:bCs/>
                <w:sz w:val="24"/>
                <w:szCs w:val="24"/>
              </w:rPr>
              <w:t>說明</w:t>
            </w:r>
          </w:p>
        </w:tc>
      </w:tr>
      <w:tr w:rsidR="007950CF" w:rsidRPr="007950CF" w14:paraId="3BD76B51" w14:textId="77777777" w:rsidTr="006B3236">
        <w:trPr>
          <w:trHeight w:val="1030"/>
          <w:jc w:val="center"/>
        </w:trPr>
        <w:tc>
          <w:tcPr>
            <w:tcW w:w="3210" w:type="dxa"/>
          </w:tcPr>
          <w:p w14:paraId="748B28E8" w14:textId="1621D778" w:rsidR="007950CF" w:rsidRPr="007950CF" w:rsidRDefault="007950CF" w:rsidP="00B237EA">
            <w:pPr>
              <w:ind w:left="494" w:hangingChars="206" w:hanging="494"/>
              <w:jc w:val="both"/>
              <w:rPr>
                <w:rFonts w:ascii="標楷體" w:eastAsia="標楷體" w:hAnsi="標楷體"/>
                <w:snapToGrid w:val="0"/>
                <w:sz w:val="24"/>
                <w:szCs w:val="24"/>
              </w:rPr>
            </w:pPr>
            <w:r w:rsidRPr="007950CF">
              <w:rPr>
                <w:rFonts w:ascii="標楷體" w:eastAsia="標楷體" w:hAnsi="標楷體" w:cs="細明體" w:hint="eastAsia"/>
                <w:sz w:val="24"/>
                <w:szCs w:val="24"/>
              </w:rPr>
              <w:t>參、</w:t>
            </w:r>
            <w:r w:rsidRPr="007950CF">
              <w:rPr>
                <w:rFonts w:ascii="標楷體" w:eastAsia="標楷體" w:hAnsi="標楷體" w:cs="細明體"/>
                <w:sz w:val="24"/>
                <w:szCs w:val="24"/>
              </w:rPr>
              <w:tab/>
            </w:r>
            <w:r w:rsidR="000D1DD5" w:rsidRPr="000D1DD5">
              <w:rPr>
                <w:rFonts w:ascii="標楷體" w:eastAsia="標楷體" w:hAnsi="標楷體" w:cs="細明體" w:hint="eastAsia"/>
                <w:sz w:val="24"/>
                <w:szCs w:val="24"/>
              </w:rPr>
              <w:t>投信事業</w:t>
            </w:r>
            <w:proofErr w:type="gramStart"/>
            <w:r w:rsidR="000D1DD5" w:rsidRPr="000D1DD5">
              <w:rPr>
                <w:rFonts w:ascii="標楷體" w:eastAsia="標楷體" w:hAnsi="標楷體" w:cs="細明體" w:hint="eastAsia"/>
                <w:sz w:val="24"/>
                <w:szCs w:val="24"/>
              </w:rPr>
              <w:t>或期信事業</w:t>
            </w:r>
            <w:proofErr w:type="gramEnd"/>
            <w:r w:rsidR="000D1DD5" w:rsidRPr="000D1DD5">
              <w:rPr>
                <w:rFonts w:ascii="標楷體" w:eastAsia="標楷體" w:hAnsi="標楷體" w:cs="細明體" w:hint="eastAsia"/>
                <w:sz w:val="24"/>
                <w:szCs w:val="24"/>
              </w:rPr>
              <w:t>選定</w:t>
            </w:r>
            <w:r w:rsidR="000D1DD5" w:rsidRPr="000D1DD5">
              <w:rPr>
                <w:rFonts w:ascii="標楷體" w:eastAsia="標楷體" w:hAnsi="標楷體" w:cs="細明體" w:hint="eastAsia"/>
                <w:color w:val="FF0000"/>
                <w:sz w:val="24"/>
                <w:szCs w:val="24"/>
                <w:u w:val="single"/>
              </w:rPr>
              <w:t>或新增</w:t>
            </w:r>
            <w:r w:rsidR="000D1DD5" w:rsidRPr="000D1DD5">
              <w:rPr>
                <w:rFonts w:ascii="標楷體" w:eastAsia="標楷體" w:hAnsi="標楷體" w:cs="細明體" w:hint="eastAsia"/>
                <w:sz w:val="24"/>
                <w:szCs w:val="24"/>
              </w:rPr>
              <w:t>流動量提供者時，應與流動量提供者簽訂提供指數股票型基金受益憑證市場流動量契約（以下簡稱提供市場流動量契約），並</w:t>
            </w:r>
            <w:r w:rsidR="000D1DD5" w:rsidRPr="000D1DD5">
              <w:rPr>
                <w:rFonts w:ascii="標楷體" w:eastAsia="標楷體" w:hAnsi="標楷體" w:cs="細明體" w:hint="eastAsia"/>
                <w:color w:val="FF0000"/>
                <w:sz w:val="24"/>
                <w:szCs w:val="24"/>
                <w:u w:val="single"/>
              </w:rPr>
              <w:t>於契約生效前三</w:t>
            </w:r>
            <w:proofErr w:type="gramStart"/>
            <w:r w:rsidR="000D1DD5" w:rsidRPr="000D1DD5">
              <w:rPr>
                <w:rFonts w:ascii="標楷體" w:eastAsia="標楷體" w:hAnsi="標楷體" w:cs="細明體" w:hint="eastAsia"/>
                <w:color w:val="FF0000"/>
                <w:sz w:val="24"/>
                <w:szCs w:val="24"/>
                <w:u w:val="single"/>
              </w:rPr>
              <w:t>個</w:t>
            </w:r>
            <w:proofErr w:type="gramEnd"/>
            <w:r w:rsidR="000D1DD5" w:rsidRPr="000D1DD5">
              <w:rPr>
                <w:rFonts w:ascii="標楷體" w:eastAsia="標楷體" w:hAnsi="標楷體" w:cs="細明體" w:hint="eastAsia"/>
                <w:color w:val="FF0000"/>
                <w:sz w:val="24"/>
                <w:szCs w:val="24"/>
                <w:u w:val="single"/>
              </w:rPr>
              <w:t>營業日下午三時前</w:t>
            </w:r>
            <w:r w:rsidR="000D1DD5" w:rsidRPr="000D1DD5">
              <w:rPr>
                <w:rFonts w:ascii="標楷體" w:eastAsia="標楷體" w:hAnsi="標楷體" w:hint="eastAsia"/>
                <w:color w:val="FF0000"/>
                <w:sz w:val="24"/>
                <w:szCs w:val="24"/>
                <w:u w:val="single"/>
              </w:rPr>
              <w:t>檢附符合本作業要點第肆點第一款及第二款之資格證明文件及適任性檢查表</w:t>
            </w:r>
            <w:r w:rsidR="000D1DD5" w:rsidRPr="000D1DD5">
              <w:rPr>
                <w:rFonts w:ascii="標楷體" w:eastAsia="標楷體" w:hAnsi="標楷體" w:cs="細明體" w:hint="eastAsia"/>
                <w:sz w:val="24"/>
                <w:szCs w:val="24"/>
              </w:rPr>
              <w:t>函報本中心</w:t>
            </w:r>
            <w:r w:rsidR="000D1DD5" w:rsidRPr="000D1DD5">
              <w:rPr>
                <w:rFonts w:ascii="標楷體" w:eastAsia="標楷體" w:hAnsi="標楷體" w:cs="細明體" w:hint="eastAsia"/>
                <w:color w:val="FF0000"/>
                <w:sz w:val="24"/>
                <w:szCs w:val="24"/>
                <w:u w:val="single"/>
              </w:rPr>
              <w:t>同意</w:t>
            </w:r>
            <w:r w:rsidR="000D1DD5" w:rsidRPr="000D1DD5">
              <w:rPr>
                <w:rFonts w:ascii="標楷體" w:eastAsia="標楷體" w:hAnsi="標楷體" w:cs="細明體" w:hint="eastAsia"/>
                <w:sz w:val="24"/>
                <w:szCs w:val="24"/>
              </w:rPr>
              <w:t>。投信事業</w:t>
            </w:r>
            <w:proofErr w:type="gramStart"/>
            <w:r w:rsidR="000D1DD5" w:rsidRPr="000D1DD5">
              <w:rPr>
                <w:rFonts w:ascii="標楷體" w:eastAsia="標楷體" w:hAnsi="標楷體" w:cs="細明體" w:hint="eastAsia"/>
                <w:sz w:val="24"/>
                <w:szCs w:val="24"/>
              </w:rPr>
              <w:t>或期信事業</w:t>
            </w:r>
            <w:proofErr w:type="gramEnd"/>
            <w:r w:rsidR="000D1DD5" w:rsidRPr="000D1DD5">
              <w:rPr>
                <w:rFonts w:ascii="標楷體" w:eastAsia="標楷體" w:hAnsi="標楷體" w:cs="細明體" w:hint="eastAsia"/>
                <w:sz w:val="24"/>
                <w:szCs w:val="24"/>
              </w:rPr>
              <w:t>有終止流動量提供者之情事時，應於契約終止前三</w:t>
            </w:r>
            <w:proofErr w:type="gramStart"/>
            <w:r w:rsidR="000D1DD5" w:rsidRPr="000D1DD5">
              <w:rPr>
                <w:rFonts w:ascii="標楷體" w:eastAsia="標楷體" w:hAnsi="標楷體" w:cs="細明體" w:hint="eastAsia"/>
                <w:sz w:val="24"/>
                <w:szCs w:val="24"/>
              </w:rPr>
              <w:t>個</w:t>
            </w:r>
            <w:proofErr w:type="gramEnd"/>
            <w:r w:rsidR="000D1DD5" w:rsidRPr="000D1DD5">
              <w:rPr>
                <w:rFonts w:ascii="標楷體" w:eastAsia="標楷體" w:hAnsi="標楷體" w:cs="細明體" w:hint="eastAsia"/>
                <w:sz w:val="24"/>
                <w:szCs w:val="24"/>
              </w:rPr>
              <w:t>營業日下午三時前，檢附相關證明文件函知本中心</w:t>
            </w:r>
            <w:r w:rsidRPr="000D1DD5">
              <w:rPr>
                <w:rFonts w:ascii="標楷體" w:eastAsia="標楷體" w:hAnsi="標楷體" w:cs="細明體" w:hint="eastAsia"/>
                <w:sz w:val="24"/>
                <w:szCs w:val="24"/>
              </w:rPr>
              <w:t>。</w:t>
            </w:r>
          </w:p>
        </w:tc>
        <w:tc>
          <w:tcPr>
            <w:tcW w:w="3210" w:type="dxa"/>
          </w:tcPr>
          <w:p w14:paraId="19AD39D4" w14:textId="4CBAF1D3" w:rsidR="007950CF" w:rsidRPr="007950CF" w:rsidRDefault="007950CF" w:rsidP="00B237EA">
            <w:pPr>
              <w:ind w:left="494" w:hangingChars="206" w:hanging="494"/>
              <w:jc w:val="both"/>
              <w:rPr>
                <w:rFonts w:ascii="標楷體" w:eastAsia="標楷體" w:hAnsi="標楷體"/>
                <w:snapToGrid w:val="0"/>
                <w:sz w:val="24"/>
                <w:szCs w:val="24"/>
              </w:rPr>
            </w:pPr>
            <w:r w:rsidRPr="007950CF">
              <w:rPr>
                <w:rFonts w:ascii="標楷體" w:eastAsia="標楷體" w:hAnsi="標楷體" w:cs="細明體" w:hint="eastAsia"/>
                <w:sz w:val="24"/>
                <w:szCs w:val="24"/>
              </w:rPr>
              <w:t>參、</w:t>
            </w:r>
            <w:r w:rsidRPr="007950CF">
              <w:rPr>
                <w:rFonts w:ascii="標楷體" w:eastAsia="標楷體" w:hAnsi="標楷體" w:cs="細明體"/>
                <w:sz w:val="24"/>
                <w:szCs w:val="24"/>
              </w:rPr>
              <w:tab/>
            </w:r>
            <w:r w:rsidR="000D1DD5" w:rsidRPr="000D1DD5">
              <w:rPr>
                <w:rFonts w:ascii="標楷體" w:eastAsia="標楷體" w:hAnsi="標楷體" w:cs="細明體" w:hint="eastAsia"/>
                <w:sz w:val="24"/>
                <w:szCs w:val="24"/>
              </w:rPr>
              <w:t>投信事業</w:t>
            </w:r>
            <w:proofErr w:type="gramStart"/>
            <w:r w:rsidR="000D1DD5" w:rsidRPr="000D1DD5">
              <w:rPr>
                <w:rFonts w:ascii="標楷體" w:eastAsia="標楷體" w:hAnsi="標楷體" w:cs="細明體" w:hint="eastAsia"/>
                <w:sz w:val="24"/>
                <w:szCs w:val="24"/>
              </w:rPr>
              <w:t>或期信事業</w:t>
            </w:r>
            <w:proofErr w:type="gramEnd"/>
            <w:r w:rsidR="000D1DD5" w:rsidRPr="000D1DD5">
              <w:rPr>
                <w:rFonts w:ascii="標楷體" w:eastAsia="標楷體" w:hAnsi="標楷體" w:cs="細明體" w:hint="eastAsia"/>
                <w:sz w:val="24"/>
                <w:szCs w:val="24"/>
              </w:rPr>
              <w:t>選定流動量提供者時，應與流動量提供者簽訂提供指數股票型基金受益憑證市場流動量契約（以下簡稱提供市場流動量契約），並函報本中心。</w:t>
            </w:r>
            <w:r w:rsidR="000D1DD5" w:rsidRPr="00B0119F">
              <w:rPr>
                <w:rFonts w:ascii="標楷體" w:eastAsia="標楷體" w:hAnsi="標楷體" w:cs="細明體" w:hint="eastAsia"/>
                <w:sz w:val="24"/>
                <w:szCs w:val="24"/>
              </w:rPr>
              <w:t>投信事業</w:t>
            </w:r>
            <w:proofErr w:type="gramStart"/>
            <w:r w:rsidR="000D1DD5" w:rsidRPr="00B0119F">
              <w:rPr>
                <w:rFonts w:ascii="標楷體" w:eastAsia="標楷體" w:hAnsi="標楷體" w:cs="細明體" w:hint="eastAsia"/>
                <w:sz w:val="24"/>
                <w:szCs w:val="24"/>
              </w:rPr>
              <w:t>或期信事業</w:t>
            </w:r>
            <w:proofErr w:type="gramEnd"/>
            <w:r w:rsidR="000D1DD5" w:rsidRPr="00B0119F">
              <w:rPr>
                <w:rFonts w:ascii="標楷體" w:eastAsia="標楷體" w:hAnsi="標楷體" w:cs="細明體" w:hint="eastAsia"/>
                <w:sz w:val="24"/>
                <w:szCs w:val="24"/>
              </w:rPr>
              <w:t>有</w:t>
            </w:r>
            <w:r w:rsidR="000D1DD5" w:rsidRPr="00B0119F">
              <w:rPr>
                <w:rFonts w:ascii="標楷體" w:eastAsia="標楷體" w:hAnsi="標楷體" w:cs="細明體" w:hint="eastAsia"/>
                <w:color w:val="FF0000"/>
                <w:sz w:val="24"/>
                <w:szCs w:val="24"/>
                <w:u w:val="single"/>
              </w:rPr>
              <w:t>新增或</w:t>
            </w:r>
            <w:r w:rsidR="000D1DD5" w:rsidRPr="00B0119F">
              <w:rPr>
                <w:rFonts w:ascii="標楷體" w:eastAsia="標楷體" w:hAnsi="標楷體" w:cs="細明體" w:hint="eastAsia"/>
                <w:sz w:val="24"/>
                <w:szCs w:val="24"/>
              </w:rPr>
              <w:t>終止流動量提供者之情事時，應於契約</w:t>
            </w:r>
            <w:r w:rsidR="000D1DD5" w:rsidRPr="00B0119F">
              <w:rPr>
                <w:rFonts w:ascii="標楷體" w:eastAsia="標楷體" w:hAnsi="標楷體" w:cs="細明體" w:hint="eastAsia"/>
                <w:color w:val="FF0000"/>
                <w:sz w:val="24"/>
                <w:szCs w:val="24"/>
                <w:u w:val="single"/>
              </w:rPr>
              <w:t>生效或</w:t>
            </w:r>
            <w:r w:rsidR="000D1DD5" w:rsidRPr="00B0119F">
              <w:rPr>
                <w:rFonts w:ascii="標楷體" w:eastAsia="標楷體" w:hAnsi="標楷體" w:cs="細明體" w:hint="eastAsia"/>
                <w:sz w:val="24"/>
                <w:szCs w:val="24"/>
              </w:rPr>
              <w:t>終止</w:t>
            </w:r>
            <w:r w:rsidR="000D1DD5" w:rsidRPr="000D1DD5">
              <w:rPr>
                <w:rFonts w:ascii="標楷體" w:eastAsia="標楷體" w:hAnsi="標楷體" w:cs="細明體" w:hint="eastAsia"/>
                <w:sz w:val="24"/>
                <w:szCs w:val="24"/>
              </w:rPr>
              <w:t>前三</w:t>
            </w:r>
            <w:proofErr w:type="gramStart"/>
            <w:r w:rsidR="000D1DD5" w:rsidRPr="000D1DD5">
              <w:rPr>
                <w:rFonts w:ascii="標楷體" w:eastAsia="標楷體" w:hAnsi="標楷體" w:cs="細明體" w:hint="eastAsia"/>
                <w:sz w:val="24"/>
                <w:szCs w:val="24"/>
              </w:rPr>
              <w:t>個</w:t>
            </w:r>
            <w:proofErr w:type="gramEnd"/>
            <w:r w:rsidR="000D1DD5" w:rsidRPr="000D1DD5">
              <w:rPr>
                <w:rFonts w:ascii="標楷體" w:eastAsia="標楷體" w:hAnsi="標楷體" w:cs="細明體" w:hint="eastAsia"/>
                <w:sz w:val="24"/>
                <w:szCs w:val="24"/>
              </w:rPr>
              <w:t>營業日下午三時前，檢附相關證明文件函知本中心</w:t>
            </w:r>
            <w:r w:rsidRPr="000D1DD5">
              <w:rPr>
                <w:rFonts w:ascii="標楷體" w:eastAsia="標楷體" w:hAnsi="標楷體" w:cs="細明體" w:hint="eastAsia"/>
                <w:sz w:val="24"/>
                <w:szCs w:val="24"/>
              </w:rPr>
              <w:t>。</w:t>
            </w:r>
          </w:p>
        </w:tc>
        <w:tc>
          <w:tcPr>
            <w:tcW w:w="3211" w:type="dxa"/>
          </w:tcPr>
          <w:p w14:paraId="2A69E733" w14:textId="7AD3C8A8" w:rsidR="007950CF" w:rsidRPr="007950CF" w:rsidRDefault="007950CF" w:rsidP="00F23D18">
            <w:pPr>
              <w:jc w:val="both"/>
              <w:rPr>
                <w:rFonts w:eastAsia="標楷體"/>
                <w:color w:val="000000"/>
                <w:sz w:val="24"/>
                <w:szCs w:val="24"/>
              </w:rPr>
            </w:pPr>
            <w:r w:rsidRPr="007950CF">
              <w:rPr>
                <w:rFonts w:eastAsia="標楷體" w:hint="eastAsia"/>
                <w:color w:val="000000"/>
                <w:sz w:val="24"/>
                <w:szCs w:val="24"/>
              </w:rPr>
              <w:t>為持續控管指數股票型基金</w:t>
            </w:r>
            <w:r w:rsidRPr="007950CF">
              <w:rPr>
                <w:rFonts w:eastAsia="標楷體" w:hint="eastAsia"/>
                <w:color w:val="000000"/>
                <w:sz w:val="24"/>
                <w:szCs w:val="24"/>
              </w:rPr>
              <w:t>(</w:t>
            </w:r>
            <w:r w:rsidRPr="007950CF">
              <w:rPr>
                <w:rFonts w:eastAsia="標楷體" w:hint="eastAsia"/>
                <w:color w:val="000000"/>
                <w:sz w:val="24"/>
                <w:szCs w:val="24"/>
              </w:rPr>
              <w:t>以下稱</w:t>
            </w:r>
            <w:r w:rsidRPr="007950CF">
              <w:rPr>
                <w:rFonts w:eastAsia="標楷體" w:hint="eastAsia"/>
                <w:color w:val="000000"/>
                <w:sz w:val="24"/>
                <w:szCs w:val="24"/>
              </w:rPr>
              <w:t>ETF)</w:t>
            </w:r>
            <w:r w:rsidRPr="007950CF">
              <w:rPr>
                <w:rFonts w:eastAsia="標楷體" w:hint="eastAsia"/>
                <w:color w:val="000000"/>
                <w:sz w:val="24"/>
                <w:szCs w:val="24"/>
              </w:rPr>
              <w:t>流動量提供者之適任性，投信事業</w:t>
            </w:r>
            <w:proofErr w:type="gramStart"/>
            <w:r w:rsidRPr="007950CF">
              <w:rPr>
                <w:rFonts w:eastAsia="標楷體" w:hint="eastAsia"/>
                <w:color w:val="000000"/>
                <w:sz w:val="24"/>
                <w:szCs w:val="24"/>
              </w:rPr>
              <w:t>或期信事業</w:t>
            </w:r>
            <w:proofErr w:type="gramEnd"/>
            <w:r w:rsidRPr="007950CF">
              <w:rPr>
                <w:rFonts w:eastAsia="標楷體" w:hint="eastAsia"/>
                <w:color w:val="000000"/>
                <w:sz w:val="24"/>
                <w:szCs w:val="24"/>
              </w:rPr>
              <w:t>與證券商簽訂</w:t>
            </w:r>
            <w:r w:rsidRPr="007950CF">
              <w:rPr>
                <w:rFonts w:ascii="標楷體" w:eastAsia="標楷體" w:hAnsi="標楷體" w:cs="細明體" w:hint="eastAsia"/>
                <w:sz w:val="24"/>
                <w:szCs w:val="24"/>
              </w:rPr>
              <w:t>提供市場流動量契約</w:t>
            </w:r>
            <w:r w:rsidRPr="007950CF">
              <w:rPr>
                <w:rFonts w:eastAsia="標楷體" w:hint="eastAsia"/>
                <w:color w:val="000000"/>
                <w:sz w:val="24"/>
                <w:szCs w:val="24"/>
              </w:rPr>
              <w:t>前，應先自行評估其適任性，並將符合本作業要點</w:t>
            </w:r>
            <w:r w:rsidR="002574A1">
              <w:rPr>
                <w:rFonts w:eastAsia="標楷體" w:hint="eastAsia"/>
                <w:color w:val="000000"/>
                <w:sz w:val="24"/>
                <w:szCs w:val="24"/>
              </w:rPr>
              <w:t>第</w:t>
            </w:r>
            <w:r w:rsidRPr="007950CF">
              <w:rPr>
                <w:rFonts w:eastAsia="標楷體" w:hint="eastAsia"/>
                <w:color w:val="000000"/>
                <w:sz w:val="24"/>
                <w:szCs w:val="24"/>
              </w:rPr>
              <w:t>肆</w:t>
            </w:r>
            <w:r w:rsidR="002574A1">
              <w:rPr>
                <w:rFonts w:eastAsia="標楷體" w:hint="eastAsia"/>
                <w:color w:val="000000"/>
                <w:sz w:val="24"/>
                <w:szCs w:val="24"/>
              </w:rPr>
              <w:t>點第</w:t>
            </w:r>
            <w:r w:rsidR="002574A1">
              <w:rPr>
                <w:rFonts w:eastAsia="標楷體" w:hint="eastAsia"/>
                <w:color w:val="000000"/>
                <w:sz w:val="24"/>
                <w:szCs w:val="24"/>
              </w:rPr>
              <w:t>1</w:t>
            </w:r>
            <w:r w:rsidR="002574A1">
              <w:rPr>
                <w:rFonts w:eastAsia="標楷體" w:hint="eastAsia"/>
                <w:color w:val="000000"/>
                <w:sz w:val="24"/>
                <w:szCs w:val="24"/>
              </w:rPr>
              <w:t>款及第</w:t>
            </w:r>
            <w:r w:rsidR="002574A1">
              <w:rPr>
                <w:rFonts w:eastAsia="標楷體" w:hint="eastAsia"/>
                <w:color w:val="000000"/>
                <w:sz w:val="24"/>
                <w:szCs w:val="24"/>
              </w:rPr>
              <w:t>2</w:t>
            </w:r>
            <w:r w:rsidR="002574A1">
              <w:rPr>
                <w:rFonts w:eastAsia="標楷體" w:hint="eastAsia"/>
                <w:color w:val="000000"/>
                <w:sz w:val="24"/>
                <w:szCs w:val="24"/>
              </w:rPr>
              <w:t>款</w:t>
            </w:r>
            <w:r w:rsidRPr="007950CF">
              <w:rPr>
                <w:rFonts w:eastAsia="標楷體" w:hint="eastAsia"/>
                <w:color w:val="000000"/>
                <w:sz w:val="24"/>
                <w:szCs w:val="24"/>
              </w:rPr>
              <w:t>之資格證明文件及適任性檢查表函報本中心，</w:t>
            </w:r>
            <w:proofErr w:type="gramStart"/>
            <w:r w:rsidRPr="007950CF">
              <w:rPr>
                <w:rFonts w:eastAsia="標楷體" w:hint="eastAsia"/>
                <w:color w:val="000000"/>
                <w:sz w:val="24"/>
                <w:szCs w:val="24"/>
              </w:rPr>
              <w:t>爰</w:t>
            </w:r>
            <w:proofErr w:type="gramEnd"/>
            <w:r w:rsidRPr="007950CF">
              <w:rPr>
                <w:rFonts w:eastAsia="標楷體" w:hint="eastAsia"/>
                <w:color w:val="000000"/>
                <w:sz w:val="24"/>
                <w:szCs w:val="24"/>
              </w:rPr>
              <w:t>修正本點之規定</w:t>
            </w:r>
            <w:r w:rsidR="000D1DD5" w:rsidRPr="000D1DD5">
              <w:rPr>
                <w:rFonts w:eastAsia="標楷體" w:hint="eastAsia"/>
                <w:color w:val="000000"/>
                <w:sz w:val="24"/>
                <w:szCs w:val="24"/>
              </w:rPr>
              <w:t>，</w:t>
            </w:r>
            <w:proofErr w:type="gramStart"/>
            <w:r w:rsidR="000D1DD5" w:rsidRPr="000D1DD5">
              <w:rPr>
                <w:rFonts w:eastAsia="標楷體" w:hint="eastAsia"/>
                <w:color w:val="000000"/>
                <w:sz w:val="24"/>
                <w:szCs w:val="24"/>
              </w:rPr>
              <w:t>並酌修部分</w:t>
            </w:r>
            <w:proofErr w:type="gramEnd"/>
            <w:r w:rsidR="000D1DD5" w:rsidRPr="000D1DD5">
              <w:rPr>
                <w:rFonts w:eastAsia="標楷體" w:hint="eastAsia"/>
                <w:color w:val="000000"/>
                <w:sz w:val="24"/>
                <w:szCs w:val="24"/>
              </w:rPr>
              <w:t>文字</w:t>
            </w:r>
            <w:r w:rsidRPr="007950CF">
              <w:rPr>
                <w:rFonts w:eastAsia="標楷體" w:hint="eastAsia"/>
                <w:color w:val="000000"/>
                <w:sz w:val="24"/>
                <w:szCs w:val="24"/>
              </w:rPr>
              <w:t>。</w:t>
            </w:r>
          </w:p>
        </w:tc>
      </w:tr>
      <w:tr w:rsidR="007950CF" w:rsidRPr="007950CF" w14:paraId="705260B0" w14:textId="77777777" w:rsidTr="006B3236">
        <w:trPr>
          <w:trHeight w:val="1030"/>
          <w:jc w:val="center"/>
        </w:trPr>
        <w:tc>
          <w:tcPr>
            <w:tcW w:w="3210" w:type="dxa"/>
          </w:tcPr>
          <w:p w14:paraId="75F3352F" w14:textId="01A42C50" w:rsidR="007950CF" w:rsidRPr="007950CF" w:rsidRDefault="007950CF" w:rsidP="0097132E">
            <w:pPr>
              <w:ind w:left="480" w:hangingChars="200" w:hanging="480"/>
              <w:jc w:val="both"/>
              <w:rPr>
                <w:rFonts w:ascii="標楷體" w:eastAsia="標楷體" w:hAnsi="標楷體"/>
                <w:snapToGrid w:val="0"/>
                <w:sz w:val="24"/>
                <w:szCs w:val="24"/>
              </w:rPr>
            </w:pPr>
            <w:r w:rsidRPr="007950CF">
              <w:rPr>
                <w:rFonts w:ascii="標楷體" w:eastAsia="標楷體" w:hAnsi="標楷體"/>
                <w:snapToGrid w:val="0"/>
                <w:sz w:val="24"/>
                <w:szCs w:val="24"/>
              </w:rPr>
              <w:t>肆、流動量提供者須具備下列</w:t>
            </w:r>
            <w:r w:rsidRPr="007950CF">
              <w:rPr>
                <w:rFonts w:ascii="標楷體" w:eastAsia="標楷體" w:hAnsi="標楷體"/>
                <w:sz w:val="24"/>
                <w:szCs w:val="24"/>
              </w:rPr>
              <w:t>條件</w:t>
            </w:r>
            <w:r w:rsidRPr="007950CF">
              <w:rPr>
                <w:rFonts w:ascii="標楷體" w:eastAsia="標楷體" w:hAnsi="標楷體"/>
                <w:snapToGrid w:val="0"/>
                <w:sz w:val="24"/>
                <w:szCs w:val="24"/>
              </w:rPr>
              <w:t>。但不符第</w:t>
            </w:r>
            <w:r w:rsidR="00CC44E0" w:rsidRPr="00CC44E0">
              <w:rPr>
                <w:rFonts w:ascii="標楷體" w:eastAsia="標楷體" w:hAnsi="標楷體" w:hint="eastAsia"/>
                <w:snapToGrid w:val="0"/>
                <w:color w:val="FF0000"/>
                <w:sz w:val="24"/>
                <w:szCs w:val="24"/>
                <w:u w:val="single"/>
              </w:rPr>
              <w:t>四</w:t>
            </w:r>
            <w:r w:rsidRPr="007950CF">
              <w:rPr>
                <w:rFonts w:ascii="標楷體" w:eastAsia="標楷體" w:hAnsi="標楷體"/>
                <w:snapToGrid w:val="0"/>
                <w:sz w:val="24"/>
                <w:szCs w:val="24"/>
              </w:rPr>
              <w:t>款至第</w:t>
            </w:r>
            <w:r w:rsidR="00CC44E0" w:rsidRPr="00CC44E0">
              <w:rPr>
                <w:rFonts w:ascii="標楷體" w:eastAsia="標楷體" w:hAnsi="標楷體" w:hint="eastAsia"/>
                <w:snapToGrid w:val="0"/>
                <w:color w:val="FF0000"/>
                <w:sz w:val="24"/>
                <w:szCs w:val="24"/>
                <w:u w:val="single"/>
              </w:rPr>
              <w:t>八</w:t>
            </w:r>
            <w:r w:rsidRPr="007950CF">
              <w:rPr>
                <w:rFonts w:ascii="標楷體" w:eastAsia="標楷體" w:hAnsi="標楷體"/>
                <w:snapToGrid w:val="0"/>
                <w:sz w:val="24"/>
                <w:szCs w:val="24"/>
              </w:rPr>
              <w:t>款之條件，惟其情事已具體改善，並經主管機關認可者，得不受其限制：</w:t>
            </w:r>
          </w:p>
          <w:p w14:paraId="0E4C5067" w14:textId="1E5674ED" w:rsidR="007950CF" w:rsidRPr="007950CF" w:rsidRDefault="007950CF" w:rsidP="0097132E">
            <w:pPr>
              <w:ind w:leftChars="100" w:left="680" w:hangingChars="200" w:hanging="480"/>
              <w:jc w:val="both"/>
              <w:rPr>
                <w:rFonts w:ascii="標楷體" w:eastAsia="標楷體" w:hAnsi="標楷體"/>
                <w:sz w:val="24"/>
                <w:szCs w:val="24"/>
              </w:rPr>
            </w:pPr>
            <w:r w:rsidRPr="007950CF">
              <w:rPr>
                <w:rFonts w:ascii="標楷體" w:eastAsia="標楷體" w:hAnsi="標楷體"/>
                <w:sz w:val="24"/>
                <w:szCs w:val="24"/>
              </w:rPr>
              <w:t>一、</w:t>
            </w:r>
            <w:r w:rsidRPr="007950CF">
              <w:rPr>
                <w:rFonts w:ascii="標楷體" w:eastAsia="標楷體" w:hAnsi="標楷體" w:hint="eastAsia"/>
                <w:color w:val="FF0000"/>
                <w:sz w:val="24"/>
                <w:szCs w:val="24"/>
                <w:u w:val="single"/>
              </w:rPr>
              <w:t>經本中心核可得經營</w:t>
            </w:r>
            <w:r w:rsidRPr="007950CF">
              <w:rPr>
                <w:rFonts w:ascii="標楷體" w:eastAsia="標楷體" w:hAnsi="標楷體"/>
                <w:color w:val="FF0000"/>
                <w:sz w:val="24"/>
                <w:szCs w:val="24"/>
                <w:u w:val="single"/>
              </w:rPr>
              <w:t>指數股票型基金</w:t>
            </w:r>
            <w:r w:rsidRPr="007950CF">
              <w:rPr>
                <w:rFonts w:ascii="標楷體" w:eastAsia="標楷體" w:hAnsi="標楷體" w:hint="eastAsia"/>
                <w:color w:val="FF0000"/>
                <w:sz w:val="24"/>
                <w:szCs w:val="24"/>
                <w:u w:val="single"/>
              </w:rPr>
              <w:t>受益憑證流動量提供業務及擔任參與證券商且具備證券自營業務之證券商。</w:t>
            </w:r>
          </w:p>
          <w:p w14:paraId="20B52A81" w14:textId="35B2A860" w:rsidR="007950CF" w:rsidRPr="007950CF" w:rsidRDefault="007950CF" w:rsidP="0097132E">
            <w:pPr>
              <w:ind w:leftChars="100" w:left="680" w:hangingChars="200" w:hanging="480"/>
              <w:jc w:val="both"/>
              <w:rPr>
                <w:rFonts w:ascii="標楷體" w:eastAsia="標楷體" w:hAnsi="標楷體"/>
                <w:sz w:val="24"/>
                <w:szCs w:val="24"/>
              </w:rPr>
            </w:pPr>
            <w:r w:rsidRPr="007950CF">
              <w:rPr>
                <w:rFonts w:ascii="標楷體" w:eastAsia="標楷體" w:hAnsi="標楷體" w:hint="eastAsia"/>
                <w:color w:val="FF0000"/>
                <w:sz w:val="24"/>
                <w:szCs w:val="24"/>
                <w:u w:val="single"/>
              </w:rPr>
              <w:t>二、證券商於取得前</w:t>
            </w:r>
            <w:r w:rsidR="0022159E">
              <w:rPr>
                <w:rFonts w:ascii="標楷體" w:eastAsia="標楷體" w:hAnsi="標楷體" w:hint="eastAsia"/>
                <w:color w:val="FF0000"/>
                <w:sz w:val="24"/>
                <w:szCs w:val="24"/>
                <w:u w:val="single"/>
              </w:rPr>
              <w:t>款</w:t>
            </w:r>
            <w:r w:rsidRPr="007950CF">
              <w:rPr>
                <w:rFonts w:ascii="標楷體" w:eastAsia="標楷體" w:hAnsi="標楷體" w:hint="eastAsia"/>
                <w:color w:val="FF0000"/>
                <w:sz w:val="24"/>
                <w:szCs w:val="24"/>
                <w:u w:val="single"/>
              </w:rPr>
              <w:t>核</w:t>
            </w:r>
            <w:r w:rsidR="00FA6086">
              <w:rPr>
                <w:rFonts w:ascii="標楷體" w:eastAsia="標楷體" w:hAnsi="標楷體" w:hint="eastAsia"/>
                <w:color w:val="FF0000"/>
                <w:sz w:val="24"/>
                <w:szCs w:val="24"/>
                <w:u w:val="single"/>
              </w:rPr>
              <w:t>可函後一年內與發行指數股票型基金受益憑證之投信事業</w:t>
            </w:r>
            <w:proofErr w:type="gramStart"/>
            <w:r w:rsidR="00FA6086">
              <w:rPr>
                <w:rFonts w:ascii="標楷體" w:eastAsia="標楷體" w:hAnsi="標楷體" w:hint="eastAsia"/>
                <w:color w:val="FF0000"/>
                <w:sz w:val="24"/>
                <w:szCs w:val="24"/>
                <w:u w:val="single"/>
              </w:rPr>
              <w:t>或期信事業</w:t>
            </w:r>
            <w:proofErr w:type="gramEnd"/>
            <w:r w:rsidR="00FA6086">
              <w:rPr>
                <w:rFonts w:ascii="標楷體" w:eastAsia="標楷體" w:hAnsi="標楷體" w:hint="eastAsia"/>
                <w:color w:val="FF0000"/>
                <w:sz w:val="24"/>
                <w:szCs w:val="24"/>
                <w:u w:val="single"/>
              </w:rPr>
              <w:t>簽訂</w:t>
            </w:r>
            <w:r w:rsidRPr="007950CF">
              <w:rPr>
                <w:rFonts w:ascii="標楷體" w:eastAsia="標楷體" w:hAnsi="標楷體" w:hint="eastAsia"/>
                <w:color w:val="FF0000"/>
                <w:sz w:val="24"/>
                <w:szCs w:val="24"/>
                <w:u w:val="single"/>
              </w:rPr>
              <w:t>提供市場流動量契約者。</w:t>
            </w:r>
          </w:p>
          <w:p w14:paraId="6352B897" w14:textId="0A198510" w:rsidR="007950CF" w:rsidRPr="007950CF" w:rsidRDefault="007950CF" w:rsidP="0097132E">
            <w:pPr>
              <w:ind w:leftChars="100" w:left="680" w:hangingChars="200" w:hanging="480"/>
              <w:jc w:val="both"/>
              <w:rPr>
                <w:rFonts w:ascii="標楷體" w:eastAsia="標楷體" w:hAnsi="標楷體"/>
                <w:sz w:val="24"/>
                <w:szCs w:val="24"/>
              </w:rPr>
            </w:pPr>
            <w:r w:rsidRPr="007950CF">
              <w:rPr>
                <w:rFonts w:ascii="標楷體" w:eastAsia="標楷體" w:hAnsi="標楷體" w:hint="eastAsia"/>
                <w:color w:val="FF0000"/>
                <w:sz w:val="24"/>
                <w:szCs w:val="24"/>
                <w:u w:val="single"/>
              </w:rPr>
              <w:t>三</w:t>
            </w:r>
            <w:r w:rsidRPr="007950CF">
              <w:rPr>
                <w:rFonts w:ascii="標楷體" w:eastAsia="標楷體" w:hAnsi="標楷體"/>
                <w:sz w:val="24"/>
                <w:szCs w:val="24"/>
              </w:rPr>
              <w:t>、最近期經會計師查核簽證之財務報告每股淨值不低於票面金額，且財</w:t>
            </w:r>
            <w:r w:rsidRPr="007950CF">
              <w:rPr>
                <w:rFonts w:ascii="標楷體" w:eastAsia="標楷體" w:hAnsi="標楷體"/>
                <w:sz w:val="24"/>
                <w:szCs w:val="24"/>
              </w:rPr>
              <w:lastRenderedPageBreak/>
              <w:t>務狀況符合證券商管理規則之規定。</w:t>
            </w:r>
          </w:p>
          <w:p w14:paraId="77805C0F" w14:textId="6A783418" w:rsidR="007950CF" w:rsidRPr="007950CF" w:rsidRDefault="007950CF" w:rsidP="0097132E">
            <w:pPr>
              <w:ind w:leftChars="100" w:left="680" w:hangingChars="200" w:hanging="480"/>
              <w:jc w:val="both"/>
              <w:rPr>
                <w:rFonts w:ascii="標楷體" w:eastAsia="標楷體" w:hAnsi="標楷體"/>
                <w:sz w:val="24"/>
                <w:szCs w:val="24"/>
              </w:rPr>
            </w:pPr>
            <w:r w:rsidRPr="007950CF">
              <w:rPr>
                <w:rFonts w:ascii="標楷體" w:eastAsia="標楷體" w:hAnsi="標楷體" w:hint="eastAsia"/>
                <w:color w:val="FF0000"/>
                <w:sz w:val="24"/>
                <w:szCs w:val="24"/>
                <w:u w:val="single"/>
              </w:rPr>
              <w:t>四</w:t>
            </w:r>
            <w:r w:rsidRPr="007950CF">
              <w:rPr>
                <w:rFonts w:ascii="標楷體" w:eastAsia="標楷體" w:hAnsi="標楷體"/>
                <w:sz w:val="24"/>
                <w:szCs w:val="24"/>
              </w:rPr>
              <w:t>、最近三個月未曾受主管機關依證券交易法第六十六條第一款或期貨交易法第一百條第一項第一款所為之警告處分。</w:t>
            </w:r>
          </w:p>
          <w:p w14:paraId="1258982C" w14:textId="03F141A2" w:rsidR="007950CF" w:rsidRPr="007950CF" w:rsidRDefault="007950CF" w:rsidP="0097132E">
            <w:pPr>
              <w:ind w:leftChars="100" w:left="680" w:hangingChars="200" w:hanging="480"/>
              <w:jc w:val="both"/>
              <w:rPr>
                <w:rFonts w:ascii="標楷體" w:eastAsia="標楷體" w:hAnsi="標楷體"/>
                <w:sz w:val="24"/>
                <w:szCs w:val="24"/>
              </w:rPr>
            </w:pPr>
            <w:r w:rsidRPr="007950CF">
              <w:rPr>
                <w:rFonts w:ascii="標楷體" w:eastAsia="標楷體" w:hAnsi="標楷體" w:hint="eastAsia"/>
                <w:color w:val="FF0000"/>
                <w:sz w:val="24"/>
                <w:szCs w:val="24"/>
                <w:u w:val="single"/>
              </w:rPr>
              <w:t>五</w:t>
            </w:r>
            <w:r w:rsidRPr="007950CF">
              <w:rPr>
                <w:rFonts w:ascii="標楷體" w:eastAsia="標楷體" w:hAnsi="標楷體"/>
                <w:sz w:val="24"/>
                <w:szCs w:val="24"/>
              </w:rPr>
              <w:t>、最近六個月未曾受主管機關依證券交易法第六十六條第二款或期貨交易法第一百條第一項第二款所為之處分。</w:t>
            </w:r>
          </w:p>
          <w:p w14:paraId="0945F24C" w14:textId="5CB30751" w:rsidR="007950CF" w:rsidRPr="007950CF" w:rsidRDefault="007950CF" w:rsidP="0097132E">
            <w:pPr>
              <w:ind w:leftChars="100" w:left="680" w:hangingChars="200" w:hanging="480"/>
              <w:jc w:val="both"/>
              <w:rPr>
                <w:rFonts w:ascii="標楷體" w:eastAsia="標楷體" w:hAnsi="標楷體"/>
                <w:sz w:val="24"/>
                <w:szCs w:val="24"/>
              </w:rPr>
            </w:pPr>
            <w:r w:rsidRPr="007950CF">
              <w:rPr>
                <w:rFonts w:ascii="標楷體" w:eastAsia="標楷體" w:hAnsi="標楷體" w:hint="eastAsia"/>
                <w:color w:val="FF0000"/>
                <w:sz w:val="24"/>
                <w:szCs w:val="24"/>
                <w:u w:val="single"/>
              </w:rPr>
              <w:t>六</w:t>
            </w:r>
            <w:r w:rsidRPr="007950CF">
              <w:rPr>
                <w:rFonts w:ascii="標楷體" w:eastAsia="標楷體" w:hAnsi="標楷體"/>
                <w:sz w:val="24"/>
                <w:szCs w:val="24"/>
              </w:rPr>
              <w:t>、最近一年未曾受主管機關為停業之處分。</w:t>
            </w:r>
          </w:p>
          <w:p w14:paraId="5B6D032F" w14:textId="5718CAAE" w:rsidR="007950CF" w:rsidRPr="007950CF" w:rsidRDefault="007950CF" w:rsidP="0097132E">
            <w:pPr>
              <w:ind w:leftChars="100" w:left="680" w:hangingChars="200" w:hanging="480"/>
              <w:jc w:val="both"/>
              <w:rPr>
                <w:rFonts w:ascii="標楷體" w:eastAsia="標楷體" w:hAnsi="標楷體"/>
                <w:sz w:val="24"/>
                <w:szCs w:val="24"/>
              </w:rPr>
            </w:pPr>
            <w:r w:rsidRPr="007950CF">
              <w:rPr>
                <w:rFonts w:ascii="標楷體" w:eastAsia="標楷體" w:hAnsi="標楷體" w:hint="eastAsia"/>
                <w:color w:val="FF0000"/>
                <w:sz w:val="24"/>
                <w:szCs w:val="24"/>
                <w:u w:val="single"/>
              </w:rPr>
              <w:t>七</w:t>
            </w:r>
            <w:r w:rsidRPr="007950CF">
              <w:rPr>
                <w:rFonts w:ascii="標楷體" w:eastAsia="標楷體" w:hAnsi="標楷體"/>
                <w:sz w:val="24"/>
                <w:szCs w:val="24"/>
              </w:rPr>
              <w:t>、最近二年未曾受主管機關撤銷部分營業許可之處分。</w:t>
            </w:r>
          </w:p>
          <w:p w14:paraId="001FF70C" w14:textId="75BA7445" w:rsidR="007950CF" w:rsidRPr="007950CF" w:rsidRDefault="007950CF" w:rsidP="0097132E">
            <w:pPr>
              <w:ind w:leftChars="100" w:left="680" w:hangingChars="200" w:hanging="480"/>
              <w:jc w:val="both"/>
              <w:rPr>
                <w:rFonts w:ascii="標楷體" w:eastAsia="標楷體" w:hAnsi="標楷體"/>
                <w:sz w:val="24"/>
                <w:szCs w:val="24"/>
              </w:rPr>
            </w:pPr>
            <w:r w:rsidRPr="007950CF">
              <w:rPr>
                <w:rFonts w:ascii="標楷體" w:eastAsia="標楷體" w:hAnsi="標楷體" w:hint="eastAsia"/>
                <w:color w:val="FF0000"/>
                <w:sz w:val="24"/>
                <w:szCs w:val="24"/>
                <w:u w:val="single"/>
              </w:rPr>
              <w:t>八</w:t>
            </w:r>
            <w:r w:rsidRPr="007950CF">
              <w:rPr>
                <w:rFonts w:ascii="標楷體" w:eastAsia="標楷體" w:hAnsi="標楷體"/>
                <w:sz w:val="24"/>
                <w:szCs w:val="24"/>
              </w:rPr>
              <w:t>、最近一年未曾受本中心、臺灣證券交易所或臺灣期貨交易所依其章則處以停止或限制買賣之處置。</w:t>
            </w:r>
          </w:p>
          <w:p w14:paraId="56876C64" w14:textId="3EC1D7BF" w:rsidR="007950CF" w:rsidRPr="007950CF" w:rsidRDefault="007950CF" w:rsidP="00400A03">
            <w:pPr>
              <w:ind w:leftChars="100" w:left="680" w:hangingChars="200" w:hanging="480"/>
              <w:jc w:val="both"/>
              <w:rPr>
                <w:rFonts w:ascii="標楷體" w:eastAsia="標楷體" w:hAnsi="標楷體" w:cs="細明體"/>
                <w:sz w:val="24"/>
                <w:szCs w:val="24"/>
              </w:rPr>
            </w:pPr>
            <w:r w:rsidRPr="007950CF">
              <w:rPr>
                <w:rFonts w:ascii="標楷體" w:eastAsia="標楷體" w:hAnsi="標楷體" w:hint="eastAsia"/>
                <w:color w:val="FF0000"/>
                <w:sz w:val="24"/>
                <w:szCs w:val="24"/>
                <w:u w:val="single"/>
              </w:rPr>
              <w:t>九</w:t>
            </w:r>
            <w:r w:rsidRPr="007950CF">
              <w:rPr>
                <w:rFonts w:ascii="標楷體" w:eastAsia="標楷體" w:hAnsi="標楷體"/>
                <w:sz w:val="24"/>
                <w:szCs w:val="24"/>
              </w:rPr>
              <w:t>、其他經主管機關規定應具備之條件。</w:t>
            </w:r>
          </w:p>
        </w:tc>
        <w:tc>
          <w:tcPr>
            <w:tcW w:w="3210" w:type="dxa"/>
          </w:tcPr>
          <w:p w14:paraId="6E030EAE" w14:textId="77777777" w:rsidR="007950CF" w:rsidRPr="007950CF" w:rsidRDefault="007950CF" w:rsidP="0097132E">
            <w:pPr>
              <w:ind w:left="480" w:hangingChars="200" w:hanging="480"/>
              <w:jc w:val="both"/>
              <w:rPr>
                <w:rFonts w:ascii="標楷體" w:eastAsia="標楷體" w:hAnsi="標楷體"/>
                <w:snapToGrid w:val="0"/>
                <w:sz w:val="24"/>
                <w:szCs w:val="24"/>
              </w:rPr>
            </w:pPr>
            <w:r w:rsidRPr="007950CF">
              <w:rPr>
                <w:rFonts w:ascii="標楷體" w:eastAsia="標楷體" w:hAnsi="標楷體"/>
                <w:snapToGrid w:val="0"/>
                <w:sz w:val="24"/>
                <w:szCs w:val="24"/>
              </w:rPr>
              <w:lastRenderedPageBreak/>
              <w:t>肆、流動量提供者須具備下列</w:t>
            </w:r>
            <w:r w:rsidRPr="007950CF">
              <w:rPr>
                <w:rFonts w:ascii="標楷體" w:eastAsia="標楷體" w:hAnsi="標楷體"/>
                <w:sz w:val="24"/>
                <w:szCs w:val="24"/>
              </w:rPr>
              <w:t>條件</w:t>
            </w:r>
            <w:r w:rsidRPr="007950CF">
              <w:rPr>
                <w:rFonts w:ascii="標楷體" w:eastAsia="標楷體" w:hAnsi="標楷體"/>
                <w:snapToGrid w:val="0"/>
                <w:sz w:val="24"/>
                <w:szCs w:val="24"/>
              </w:rPr>
              <w:t>。但不符第</w:t>
            </w:r>
            <w:r w:rsidRPr="00CC44E0">
              <w:rPr>
                <w:rFonts w:ascii="標楷體" w:eastAsia="標楷體" w:hAnsi="標楷體"/>
                <w:snapToGrid w:val="0"/>
                <w:color w:val="FF0000"/>
                <w:sz w:val="24"/>
                <w:szCs w:val="24"/>
                <w:u w:val="single"/>
              </w:rPr>
              <w:t>三</w:t>
            </w:r>
            <w:r w:rsidRPr="007950CF">
              <w:rPr>
                <w:rFonts w:ascii="標楷體" w:eastAsia="標楷體" w:hAnsi="標楷體"/>
                <w:snapToGrid w:val="0"/>
                <w:sz w:val="24"/>
                <w:szCs w:val="24"/>
              </w:rPr>
              <w:t>款至第</w:t>
            </w:r>
            <w:r w:rsidRPr="00CC44E0">
              <w:rPr>
                <w:rFonts w:ascii="標楷體" w:eastAsia="標楷體" w:hAnsi="標楷體"/>
                <w:snapToGrid w:val="0"/>
                <w:color w:val="FF0000"/>
                <w:sz w:val="24"/>
                <w:szCs w:val="24"/>
                <w:u w:val="single"/>
              </w:rPr>
              <w:t>七</w:t>
            </w:r>
            <w:r w:rsidRPr="007950CF">
              <w:rPr>
                <w:rFonts w:ascii="標楷體" w:eastAsia="標楷體" w:hAnsi="標楷體"/>
                <w:snapToGrid w:val="0"/>
                <w:sz w:val="24"/>
                <w:szCs w:val="24"/>
              </w:rPr>
              <w:t>款之條件，惟其情事已具體改善，並經主管機關認可者，得不受其限制：</w:t>
            </w:r>
          </w:p>
          <w:p w14:paraId="065721B3" w14:textId="77777777" w:rsidR="007950CF" w:rsidRPr="007950CF" w:rsidRDefault="007950CF" w:rsidP="0097132E">
            <w:pPr>
              <w:ind w:leftChars="100" w:left="680" w:hangingChars="200" w:hanging="480"/>
              <w:jc w:val="both"/>
              <w:rPr>
                <w:rFonts w:ascii="標楷體" w:eastAsia="標楷體" w:hAnsi="標楷體"/>
                <w:sz w:val="24"/>
                <w:szCs w:val="24"/>
              </w:rPr>
            </w:pPr>
            <w:r w:rsidRPr="007950CF">
              <w:rPr>
                <w:rFonts w:ascii="標楷體" w:eastAsia="標楷體" w:hAnsi="標楷體"/>
                <w:sz w:val="24"/>
                <w:szCs w:val="24"/>
              </w:rPr>
              <w:t>一、</w:t>
            </w:r>
            <w:r w:rsidRPr="00316544">
              <w:rPr>
                <w:rFonts w:ascii="標楷體" w:eastAsia="標楷體" w:hAnsi="標楷體"/>
                <w:sz w:val="24"/>
                <w:szCs w:val="24"/>
              </w:rPr>
              <w:t>具備</w:t>
            </w:r>
            <w:r w:rsidRPr="007950CF">
              <w:rPr>
                <w:rFonts w:ascii="標楷體" w:eastAsia="標楷體" w:hAnsi="標楷體"/>
                <w:color w:val="FF0000"/>
                <w:sz w:val="24"/>
                <w:szCs w:val="24"/>
                <w:u w:val="single"/>
              </w:rPr>
              <w:t>指數股票型基金受益憑證參與證券商資格</w:t>
            </w:r>
            <w:r w:rsidRPr="00316544">
              <w:rPr>
                <w:rFonts w:ascii="標楷體" w:eastAsia="標楷體" w:hAnsi="標楷體"/>
                <w:sz w:val="24"/>
                <w:szCs w:val="24"/>
              </w:rPr>
              <w:t>之證券</w:t>
            </w:r>
            <w:r w:rsidRPr="007950CF">
              <w:rPr>
                <w:rFonts w:ascii="標楷體" w:eastAsia="標楷體" w:hAnsi="標楷體"/>
                <w:color w:val="FF0000"/>
                <w:sz w:val="24"/>
                <w:szCs w:val="24"/>
                <w:u w:val="single"/>
              </w:rPr>
              <w:t>自營</w:t>
            </w:r>
            <w:r w:rsidRPr="00316544">
              <w:rPr>
                <w:rFonts w:ascii="標楷體" w:eastAsia="標楷體" w:hAnsi="標楷體"/>
                <w:sz w:val="24"/>
                <w:szCs w:val="24"/>
              </w:rPr>
              <w:t>商。</w:t>
            </w:r>
          </w:p>
          <w:p w14:paraId="04616BE2" w14:textId="77777777" w:rsidR="007950CF" w:rsidRPr="007950CF" w:rsidRDefault="007950CF" w:rsidP="0097132E">
            <w:pPr>
              <w:ind w:leftChars="100" w:left="680" w:hangingChars="200" w:hanging="480"/>
              <w:jc w:val="both"/>
              <w:rPr>
                <w:rFonts w:ascii="標楷體" w:eastAsia="標楷體" w:hAnsi="標楷體"/>
                <w:sz w:val="24"/>
                <w:szCs w:val="24"/>
              </w:rPr>
            </w:pPr>
          </w:p>
          <w:p w14:paraId="287478E5" w14:textId="77777777" w:rsidR="007950CF" w:rsidRPr="007950CF" w:rsidRDefault="007950CF" w:rsidP="0097132E">
            <w:pPr>
              <w:ind w:leftChars="100" w:left="680" w:hangingChars="200" w:hanging="480"/>
              <w:jc w:val="both"/>
              <w:rPr>
                <w:rFonts w:ascii="標楷體" w:eastAsia="標楷體" w:hAnsi="標楷體"/>
                <w:sz w:val="24"/>
                <w:szCs w:val="24"/>
              </w:rPr>
            </w:pPr>
          </w:p>
          <w:p w14:paraId="491110B2" w14:textId="77777777" w:rsidR="007950CF" w:rsidRPr="007950CF" w:rsidRDefault="007950CF" w:rsidP="0097132E">
            <w:pPr>
              <w:ind w:leftChars="100" w:left="680" w:hangingChars="200" w:hanging="480"/>
              <w:jc w:val="both"/>
              <w:rPr>
                <w:rFonts w:ascii="標楷體" w:eastAsia="標楷體" w:hAnsi="標楷體"/>
                <w:sz w:val="24"/>
                <w:szCs w:val="24"/>
              </w:rPr>
            </w:pPr>
          </w:p>
          <w:p w14:paraId="5D47F16C" w14:textId="77777777" w:rsidR="007950CF" w:rsidRPr="007950CF" w:rsidRDefault="007950CF" w:rsidP="0097132E">
            <w:pPr>
              <w:ind w:leftChars="100" w:left="680" w:hangingChars="200" w:hanging="480"/>
              <w:jc w:val="both"/>
              <w:rPr>
                <w:rFonts w:ascii="標楷體" w:eastAsia="標楷體" w:hAnsi="標楷體"/>
                <w:sz w:val="24"/>
                <w:szCs w:val="24"/>
              </w:rPr>
            </w:pPr>
          </w:p>
          <w:p w14:paraId="2C059BEB" w14:textId="77777777" w:rsidR="007950CF" w:rsidRPr="007950CF" w:rsidRDefault="007950CF" w:rsidP="0097132E">
            <w:pPr>
              <w:ind w:leftChars="100" w:left="680" w:hangingChars="200" w:hanging="480"/>
              <w:jc w:val="both"/>
              <w:rPr>
                <w:rFonts w:ascii="標楷體" w:eastAsia="標楷體" w:hAnsi="標楷體"/>
                <w:sz w:val="24"/>
                <w:szCs w:val="24"/>
              </w:rPr>
            </w:pPr>
          </w:p>
          <w:p w14:paraId="6E3B5E7C" w14:textId="77777777" w:rsidR="007950CF" w:rsidRPr="007950CF" w:rsidRDefault="007950CF" w:rsidP="0097132E">
            <w:pPr>
              <w:ind w:leftChars="100" w:left="680" w:hangingChars="200" w:hanging="480"/>
              <w:jc w:val="both"/>
              <w:rPr>
                <w:rFonts w:ascii="標楷體" w:eastAsia="標楷體" w:hAnsi="標楷體"/>
                <w:sz w:val="24"/>
                <w:szCs w:val="24"/>
              </w:rPr>
            </w:pPr>
          </w:p>
          <w:p w14:paraId="2EBA59CD" w14:textId="77777777" w:rsidR="007950CF" w:rsidRPr="007950CF" w:rsidRDefault="007950CF" w:rsidP="0097132E">
            <w:pPr>
              <w:ind w:leftChars="100" w:left="680" w:hangingChars="200" w:hanging="480"/>
              <w:jc w:val="both"/>
              <w:rPr>
                <w:rFonts w:ascii="標楷體" w:eastAsia="標楷體" w:hAnsi="標楷體"/>
                <w:sz w:val="24"/>
                <w:szCs w:val="24"/>
              </w:rPr>
            </w:pPr>
          </w:p>
          <w:p w14:paraId="3E13DED8" w14:textId="77777777" w:rsidR="007950CF" w:rsidRPr="007950CF" w:rsidRDefault="007950CF" w:rsidP="0097132E">
            <w:pPr>
              <w:ind w:leftChars="100" w:left="680" w:hangingChars="200" w:hanging="480"/>
              <w:jc w:val="both"/>
              <w:rPr>
                <w:rFonts w:ascii="標楷體" w:eastAsia="標楷體" w:hAnsi="標楷體"/>
                <w:sz w:val="24"/>
                <w:szCs w:val="24"/>
              </w:rPr>
            </w:pPr>
          </w:p>
          <w:p w14:paraId="1C457153" w14:textId="77777777" w:rsidR="007950CF" w:rsidRPr="007950CF" w:rsidRDefault="007950CF" w:rsidP="0097132E">
            <w:pPr>
              <w:ind w:leftChars="100" w:left="680" w:hangingChars="200" w:hanging="480"/>
              <w:jc w:val="both"/>
              <w:rPr>
                <w:rFonts w:ascii="標楷體" w:eastAsia="標楷體" w:hAnsi="標楷體"/>
                <w:sz w:val="24"/>
                <w:szCs w:val="24"/>
              </w:rPr>
            </w:pPr>
            <w:r w:rsidRPr="007950CF">
              <w:rPr>
                <w:rFonts w:ascii="標楷體" w:eastAsia="標楷體" w:hAnsi="標楷體"/>
                <w:color w:val="FF0000"/>
                <w:sz w:val="24"/>
                <w:szCs w:val="24"/>
                <w:u w:val="single"/>
              </w:rPr>
              <w:t>二</w:t>
            </w:r>
            <w:r w:rsidRPr="007950CF">
              <w:rPr>
                <w:rFonts w:ascii="標楷體" w:eastAsia="標楷體" w:hAnsi="標楷體"/>
                <w:sz w:val="24"/>
                <w:szCs w:val="24"/>
              </w:rPr>
              <w:t>、最近期經會計師查核簽證之財務報告每股淨值不低於票面金額，且財</w:t>
            </w:r>
            <w:r w:rsidRPr="007950CF">
              <w:rPr>
                <w:rFonts w:ascii="標楷體" w:eastAsia="標楷體" w:hAnsi="標楷體"/>
                <w:sz w:val="24"/>
                <w:szCs w:val="24"/>
              </w:rPr>
              <w:lastRenderedPageBreak/>
              <w:t>務狀況符合證券商管理規則之規定。</w:t>
            </w:r>
          </w:p>
          <w:p w14:paraId="2F19392C" w14:textId="77777777" w:rsidR="007950CF" w:rsidRPr="007950CF" w:rsidRDefault="007950CF" w:rsidP="0097132E">
            <w:pPr>
              <w:ind w:leftChars="100" w:left="680" w:hangingChars="200" w:hanging="480"/>
              <w:jc w:val="both"/>
              <w:rPr>
                <w:rFonts w:ascii="標楷體" w:eastAsia="標楷體" w:hAnsi="標楷體"/>
                <w:sz w:val="24"/>
                <w:szCs w:val="24"/>
              </w:rPr>
            </w:pPr>
            <w:r w:rsidRPr="007950CF">
              <w:rPr>
                <w:rFonts w:ascii="標楷體" w:eastAsia="標楷體" w:hAnsi="標楷體"/>
                <w:color w:val="FF0000"/>
                <w:sz w:val="24"/>
                <w:szCs w:val="24"/>
                <w:u w:val="single"/>
              </w:rPr>
              <w:t>三</w:t>
            </w:r>
            <w:r w:rsidRPr="007950CF">
              <w:rPr>
                <w:rFonts w:ascii="標楷體" w:eastAsia="標楷體" w:hAnsi="標楷體"/>
                <w:sz w:val="24"/>
                <w:szCs w:val="24"/>
              </w:rPr>
              <w:t>、最近三個月未曾受主管機關依證券交易法第六十六條第一款或期貨交易法第一百條第一項第一款所為之警告處分。</w:t>
            </w:r>
          </w:p>
          <w:p w14:paraId="71FCBFD1" w14:textId="77777777" w:rsidR="007950CF" w:rsidRPr="007950CF" w:rsidRDefault="007950CF" w:rsidP="0097132E">
            <w:pPr>
              <w:ind w:leftChars="100" w:left="680" w:hangingChars="200" w:hanging="480"/>
              <w:jc w:val="both"/>
              <w:rPr>
                <w:rFonts w:ascii="標楷體" w:eastAsia="標楷體" w:hAnsi="標楷體"/>
                <w:sz w:val="24"/>
                <w:szCs w:val="24"/>
              </w:rPr>
            </w:pPr>
            <w:r w:rsidRPr="007950CF">
              <w:rPr>
                <w:rFonts w:ascii="標楷體" w:eastAsia="標楷體" w:hAnsi="標楷體"/>
                <w:color w:val="FF0000"/>
                <w:sz w:val="24"/>
                <w:szCs w:val="24"/>
                <w:u w:val="single"/>
              </w:rPr>
              <w:t>四</w:t>
            </w:r>
            <w:r w:rsidRPr="007950CF">
              <w:rPr>
                <w:rFonts w:ascii="標楷體" w:eastAsia="標楷體" w:hAnsi="標楷體"/>
                <w:sz w:val="24"/>
                <w:szCs w:val="24"/>
              </w:rPr>
              <w:t>、最近六個月未曾受主管機關依證券交易法第六十六條第二款或期貨交易法第一百條第一項第二款所為之處分。</w:t>
            </w:r>
          </w:p>
          <w:p w14:paraId="26B89127" w14:textId="77777777" w:rsidR="007950CF" w:rsidRPr="007950CF" w:rsidRDefault="007950CF" w:rsidP="0097132E">
            <w:pPr>
              <w:ind w:leftChars="100" w:left="680" w:hangingChars="200" w:hanging="480"/>
              <w:jc w:val="both"/>
              <w:rPr>
                <w:rFonts w:ascii="標楷體" w:eastAsia="標楷體" w:hAnsi="標楷體"/>
                <w:sz w:val="24"/>
                <w:szCs w:val="24"/>
              </w:rPr>
            </w:pPr>
            <w:r w:rsidRPr="007950CF">
              <w:rPr>
                <w:rFonts w:ascii="標楷體" w:eastAsia="標楷體" w:hAnsi="標楷體"/>
                <w:color w:val="FF0000"/>
                <w:sz w:val="24"/>
                <w:szCs w:val="24"/>
                <w:u w:val="single"/>
              </w:rPr>
              <w:t>五</w:t>
            </w:r>
            <w:r w:rsidRPr="007950CF">
              <w:rPr>
                <w:rFonts w:ascii="標楷體" w:eastAsia="標楷體" w:hAnsi="標楷體"/>
                <w:sz w:val="24"/>
                <w:szCs w:val="24"/>
              </w:rPr>
              <w:t>、最近一年未曾受主管機關為停業之處分。</w:t>
            </w:r>
          </w:p>
          <w:p w14:paraId="11A54B27" w14:textId="77777777" w:rsidR="007950CF" w:rsidRPr="007950CF" w:rsidRDefault="007950CF" w:rsidP="0097132E">
            <w:pPr>
              <w:ind w:leftChars="100" w:left="680" w:hangingChars="200" w:hanging="480"/>
              <w:jc w:val="both"/>
              <w:rPr>
                <w:rFonts w:ascii="標楷體" w:eastAsia="標楷體" w:hAnsi="標楷體"/>
                <w:sz w:val="24"/>
                <w:szCs w:val="24"/>
              </w:rPr>
            </w:pPr>
            <w:r w:rsidRPr="007950CF">
              <w:rPr>
                <w:rFonts w:ascii="標楷體" w:eastAsia="標楷體" w:hAnsi="標楷體"/>
                <w:color w:val="FF0000"/>
                <w:sz w:val="24"/>
                <w:szCs w:val="24"/>
                <w:u w:val="single"/>
              </w:rPr>
              <w:t>六</w:t>
            </w:r>
            <w:r w:rsidRPr="007950CF">
              <w:rPr>
                <w:rFonts w:ascii="標楷體" w:eastAsia="標楷體" w:hAnsi="標楷體"/>
                <w:sz w:val="24"/>
                <w:szCs w:val="24"/>
              </w:rPr>
              <w:t>、最近二年未曾受主管機關撤銷部分營業許可之處分。</w:t>
            </w:r>
          </w:p>
          <w:p w14:paraId="0D40E3AC" w14:textId="77777777" w:rsidR="007950CF" w:rsidRPr="007950CF" w:rsidRDefault="007950CF" w:rsidP="0097132E">
            <w:pPr>
              <w:ind w:leftChars="100" w:left="680" w:hangingChars="200" w:hanging="480"/>
              <w:jc w:val="both"/>
              <w:rPr>
                <w:rFonts w:ascii="標楷體" w:eastAsia="標楷體" w:hAnsi="標楷體"/>
                <w:sz w:val="24"/>
                <w:szCs w:val="24"/>
              </w:rPr>
            </w:pPr>
            <w:r w:rsidRPr="007950CF">
              <w:rPr>
                <w:rFonts w:ascii="標楷體" w:eastAsia="標楷體" w:hAnsi="標楷體"/>
                <w:color w:val="FF0000"/>
                <w:sz w:val="24"/>
                <w:szCs w:val="24"/>
                <w:u w:val="single"/>
              </w:rPr>
              <w:t>七</w:t>
            </w:r>
            <w:r w:rsidRPr="007950CF">
              <w:rPr>
                <w:rFonts w:ascii="標楷體" w:eastAsia="標楷體" w:hAnsi="標楷體"/>
                <w:sz w:val="24"/>
                <w:szCs w:val="24"/>
              </w:rPr>
              <w:t>、最近一年未曾受本中心、臺灣證券交易所或臺灣期貨交易所依其章則處以停止或限制買賣之處置。</w:t>
            </w:r>
          </w:p>
          <w:p w14:paraId="245618EA" w14:textId="5D48A0E8" w:rsidR="007950CF" w:rsidRPr="007950CF" w:rsidRDefault="007950CF" w:rsidP="0097132E">
            <w:pPr>
              <w:ind w:leftChars="100" w:left="680" w:hangingChars="200" w:hanging="480"/>
              <w:jc w:val="both"/>
              <w:rPr>
                <w:rFonts w:ascii="標楷體" w:eastAsia="標楷體" w:hAnsi="標楷體" w:cs="細明體"/>
                <w:sz w:val="24"/>
                <w:szCs w:val="24"/>
              </w:rPr>
            </w:pPr>
            <w:r w:rsidRPr="007950CF">
              <w:rPr>
                <w:rFonts w:ascii="標楷體" w:eastAsia="標楷體" w:hAnsi="標楷體"/>
                <w:color w:val="FF0000"/>
                <w:sz w:val="24"/>
                <w:szCs w:val="24"/>
                <w:u w:val="single"/>
              </w:rPr>
              <w:t>八</w:t>
            </w:r>
            <w:r w:rsidRPr="007950CF">
              <w:rPr>
                <w:rFonts w:ascii="標楷體" w:eastAsia="標楷體" w:hAnsi="標楷體"/>
                <w:sz w:val="24"/>
                <w:szCs w:val="24"/>
              </w:rPr>
              <w:t>、其他經主管機關規定應具備之條件。</w:t>
            </w:r>
          </w:p>
        </w:tc>
        <w:tc>
          <w:tcPr>
            <w:tcW w:w="3211" w:type="dxa"/>
          </w:tcPr>
          <w:p w14:paraId="12A8C9CC" w14:textId="7BF4B142" w:rsidR="007950CF" w:rsidRPr="007950CF" w:rsidRDefault="007950CF" w:rsidP="007514E4">
            <w:pPr>
              <w:jc w:val="both"/>
              <w:rPr>
                <w:rFonts w:eastAsia="標楷體"/>
                <w:color w:val="000000"/>
                <w:sz w:val="24"/>
                <w:szCs w:val="24"/>
              </w:rPr>
            </w:pPr>
            <w:r w:rsidRPr="007950CF">
              <w:rPr>
                <w:rFonts w:eastAsia="標楷體" w:hint="eastAsia"/>
                <w:color w:val="000000"/>
                <w:sz w:val="24"/>
                <w:szCs w:val="24"/>
              </w:rPr>
              <w:lastRenderedPageBreak/>
              <w:t>為簡化作業流程，證券商得向本中心申請經營</w:t>
            </w:r>
            <w:r w:rsidRPr="007950CF">
              <w:rPr>
                <w:rFonts w:eastAsia="標楷體" w:hint="eastAsia"/>
                <w:color w:val="000000"/>
                <w:sz w:val="24"/>
                <w:szCs w:val="24"/>
              </w:rPr>
              <w:t>ETF</w:t>
            </w:r>
            <w:r w:rsidRPr="007950CF">
              <w:rPr>
                <w:rFonts w:eastAsia="標楷體" w:hint="eastAsia"/>
                <w:color w:val="000000"/>
                <w:sz w:val="24"/>
                <w:szCs w:val="24"/>
              </w:rPr>
              <w:t>受益憑證流動量提供者業務，於取得許可函時即具備流動量提供者及參與證券商資格，另流動量提供者資格許可函有效期限由逐案取得當次有效調整為</w:t>
            </w:r>
            <w:r w:rsidRPr="007950CF">
              <w:rPr>
                <w:rFonts w:eastAsia="標楷體" w:hint="eastAsia"/>
                <w:color w:val="000000"/>
                <w:sz w:val="24"/>
                <w:szCs w:val="24"/>
              </w:rPr>
              <w:t>1</w:t>
            </w:r>
            <w:r w:rsidRPr="007950CF">
              <w:rPr>
                <w:rFonts w:eastAsia="標楷體" w:hint="eastAsia"/>
                <w:color w:val="000000"/>
                <w:sz w:val="24"/>
                <w:szCs w:val="24"/>
              </w:rPr>
              <w:t>年內有效，爰修正第</w:t>
            </w:r>
            <w:r w:rsidRPr="007950CF">
              <w:rPr>
                <w:rFonts w:eastAsia="標楷體" w:hint="eastAsia"/>
                <w:color w:val="000000"/>
                <w:sz w:val="24"/>
                <w:szCs w:val="24"/>
              </w:rPr>
              <w:t>1</w:t>
            </w:r>
            <w:r w:rsidRPr="007950CF">
              <w:rPr>
                <w:rFonts w:eastAsia="標楷體" w:hint="eastAsia"/>
                <w:color w:val="000000"/>
                <w:sz w:val="24"/>
                <w:szCs w:val="24"/>
              </w:rPr>
              <w:t>款並新增第</w:t>
            </w:r>
            <w:r w:rsidRPr="007950CF">
              <w:rPr>
                <w:rFonts w:eastAsia="標楷體" w:hint="eastAsia"/>
                <w:color w:val="000000"/>
                <w:sz w:val="24"/>
                <w:szCs w:val="24"/>
              </w:rPr>
              <w:t>2</w:t>
            </w:r>
            <w:r w:rsidR="00CC44E0">
              <w:rPr>
                <w:rFonts w:eastAsia="標楷體" w:hint="eastAsia"/>
                <w:color w:val="000000"/>
                <w:sz w:val="24"/>
                <w:szCs w:val="24"/>
              </w:rPr>
              <w:t>款</w:t>
            </w:r>
            <w:r w:rsidRPr="007950CF">
              <w:rPr>
                <w:rFonts w:eastAsia="標楷體" w:hint="eastAsia"/>
                <w:color w:val="000000"/>
                <w:sz w:val="24"/>
                <w:szCs w:val="24"/>
              </w:rPr>
              <w:t>之規定，</w:t>
            </w:r>
            <w:r w:rsidR="00267CA2">
              <w:rPr>
                <w:rFonts w:eastAsia="標楷體" w:hint="eastAsia"/>
                <w:color w:val="000000"/>
                <w:sz w:val="24"/>
                <w:szCs w:val="24"/>
              </w:rPr>
              <w:t>現行條文第</w:t>
            </w:r>
            <w:r w:rsidR="007514E4">
              <w:rPr>
                <w:rFonts w:eastAsia="標楷體"/>
                <w:color w:val="000000"/>
                <w:sz w:val="24"/>
                <w:szCs w:val="24"/>
              </w:rPr>
              <w:t>2</w:t>
            </w:r>
            <w:r w:rsidR="00267CA2">
              <w:rPr>
                <w:rFonts w:eastAsia="標楷體" w:hint="eastAsia"/>
                <w:color w:val="000000"/>
                <w:sz w:val="24"/>
                <w:szCs w:val="24"/>
              </w:rPr>
              <w:t>款至第</w:t>
            </w:r>
            <w:r w:rsidR="00267CA2">
              <w:rPr>
                <w:rFonts w:eastAsia="標楷體" w:hint="eastAsia"/>
                <w:color w:val="000000"/>
                <w:sz w:val="24"/>
                <w:szCs w:val="24"/>
              </w:rPr>
              <w:t>8</w:t>
            </w:r>
            <w:r w:rsidR="00267CA2">
              <w:rPr>
                <w:rFonts w:eastAsia="標楷體" w:hint="eastAsia"/>
                <w:color w:val="000000"/>
                <w:sz w:val="24"/>
                <w:szCs w:val="24"/>
              </w:rPr>
              <w:t>款則依序調整為修正條文第</w:t>
            </w:r>
            <w:r w:rsidR="007514E4">
              <w:rPr>
                <w:rFonts w:eastAsia="標楷體"/>
                <w:color w:val="000000"/>
                <w:sz w:val="24"/>
                <w:szCs w:val="24"/>
              </w:rPr>
              <w:t>3</w:t>
            </w:r>
            <w:bookmarkStart w:id="0" w:name="_GoBack"/>
            <w:bookmarkEnd w:id="0"/>
            <w:r w:rsidR="00267CA2">
              <w:rPr>
                <w:rFonts w:eastAsia="標楷體" w:hint="eastAsia"/>
                <w:color w:val="000000"/>
                <w:sz w:val="24"/>
                <w:szCs w:val="24"/>
              </w:rPr>
              <w:t>款至第</w:t>
            </w:r>
            <w:r w:rsidR="00267CA2">
              <w:rPr>
                <w:rFonts w:eastAsia="標楷體" w:hint="eastAsia"/>
                <w:color w:val="000000"/>
                <w:sz w:val="24"/>
                <w:szCs w:val="24"/>
              </w:rPr>
              <w:t>9</w:t>
            </w:r>
            <w:r w:rsidR="00267CA2">
              <w:rPr>
                <w:rFonts w:eastAsia="標楷體" w:hint="eastAsia"/>
                <w:color w:val="000000"/>
                <w:sz w:val="24"/>
                <w:szCs w:val="24"/>
              </w:rPr>
              <w:t>款</w:t>
            </w:r>
            <w:r w:rsidRPr="007950CF">
              <w:rPr>
                <w:rFonts w:eastAsia="標楷體" w:hint="eastAsia"/>
                <w:color w:val="000000"/>
                <w:sz w:val="24"/>
                <w:szCs w:val="24"/>
              </w:rPr>
              <w:t>。</w:t>
            </w:r>
          </w:p>
        </w:tc>
      </w:tr>
      <w:tr w:rsidR="007950CF" w:rsidRPr="007950CF" w14:paraId="21D65E24" w14:textId="77777777" w:rsidTr="006B3236">
        <w:trPr>
          <w:trHeight w:val="2239"/>
          <w:jc w:val="center"/>
        </w:trPr>
        <w:tc>
          <w:tcPr>
            <w:tcW w:w="3210" w:type="dxa"/>
          </w:tcPr>
          <w:p w14:paraId="425776EC" w14:textId="13DE6BAE" w:rsidR="007950CF" w:rsidRPr="007950CF" w:rsidRDefault="007950CF" w:rsidP="00933ECF">
            <w:pPr>
              <w:widowControl/>
              <w:ind w:left="494" w:hangingChars="206" w:hanging="494"/>
              <w:jc w:val="both"/>
              <w:rPr>
                <w:rFonts w:ascii="標楷體" w:eastAsia="標楷體" w:hAnsi="標楷體" w:cs="細明體"/>
                <w:sz w:val="24"/>
                <w:szCs w:val="24"/>
              </w:rPr>
            </w:pPr>
            <w:r w:rsidRPr="007950CF">
              <w:rPr>
                <w:rFonts w:ascii="標楷體" w:eastAsia="標楷體" w:hAnsi="標楷體" w:cs="細明體" w:hint="eastAsia"/>
                <w:sz w:val="24"/>
                <w:szCs w:val="24"/>
              </w:rPr>
              <w:t>陸、提供市場流動量契約對流動量提供者之責任義務至少應規範下列事項</w:t>
            </w:r>
            <w:r w:rsidRPr="007950CF">
              <w:rPr>
                <w:rFonts w:ascii="標楷體" w:eastAsia="標楷體" w:hAnsi="標楷體" w:hint="eastAsia"/>
                <w:sz w:val="24"/>
                <w:szCs w:val="24"/>
              </w:rPr>
              <w:t>（</w:t>
            </w:r>
            <w:r w:rsidRPr="007950CF">
              <w:rPr>
                <w:rFonts w:ascii="標楷體" w:eastAsia="標楷體" w:hAnsi="標楷體" w:cs="細明體" w:hint="eastAsia"/>
                <w:sz w:val="24"/>
                <w:szCs w:val="24"/>
              </w:rPr>
              <w:t>以下標準應含</w:t>
            </w:r>
            <w:r w:rsidRPr="007950CF">
              <w:rPr>
                <w:rFonts w:ascii="標楷體" w:eastAsia="標楷體" w:hAnsi="標楷體" w:cs="細明體" w:hint="eastAsia"/>
                <w:color w:val="FF0000"/>
                <w:sz w:val="24"/>
                <w:szCs w:val="24"/>
                <w:u w:val="single"/>
              </w:rPr>
              <w:t>自</w:t>
            </w:r>
            <w:r w:rsidRPr="007950CF">
              <w:rPr>
                <w:rFonts w:ascii="標楷體" w:eastAsia="標楷體" w:hAnsi="標楷體" w:cs="細明體" w:hint="eastAsia"/>
                <w:sz w:val="24"/>
                <w:szCs w:val="24"/>
              </w:rPr>
              <w:t>開市</w:t>
            </w:r>
            <w:r w:rsidRPr="007950CF">
              <w:rPr>
                <w:rFonts w:ascii="標楷體" w:eastAsia="標楷體" w:hAnsi="標楷體" w:cs="細明體" w:hint="eastAsia"/>
                <w:color w:val="FF0000"/>
                <w:sz w:val="24"/>
                <w:szCs w:val="24"/>
                <w:u w:val="single"/>
              </w:rPr>
              <w:t>後至</w:t>
            </w:r>
            <w:r w:rsidRPr="007950CF">
              <w:rPr>
                <w:rFonts w:ascii="標楷體" w:eastAsia="標楷體" w:hAnsi="標楷體" w:cs="細明體" w:hint="eastAsia"/>
                <w:sz w:val="24"/>
                <w:szCs w:val="24"/>
              </w:rPr>
              <w:t>收市前一段時間之試算撮合盤數、試算成交價及試算未成交之申報價格）：</w:t>
            </w:r>
          </w:p>
          <w:p w14:paraId="481E18C1" w14:textId="77777777" w:rsidR="007950CF" w:rsidRPr="007950CF" w:rsidRDefault="007950CF" w:rsidP="00933ECF">
            <w:pPr>
              <w:widowControl/>
              <w:tabs>
                <w:tab w:val="left" w:pos="723"/>
              </w:tabs>
              <w:spacing w:line="280" w:lineRule="atLeast"/>
              <w:ind w:leftChars="100" w:left="680" w:hangingChars="200" w:hanging="480"/>
              <w:jc w:val="both"/>
              <w:rPr>
                <w:rFonts w:ascii="標楷體" w:eastAsia="標楷體" w:hAnsi="標楷體" w:cs="細明體"/>
                <w:sz w:val="24"/>
                <w:szCs w:val="24"/>
              </w:rPr>
            </w:pPr>
          </w:p>
          <w:p w14:paraId="307A14FA" w14:textId="77777777" w:rsidR="007950CF" w:rsidRPr="007950CF" w:rsidRDefault="007950CF" w:rsidP="00933ECF">
            <w:pPr>
              <w:widowControl/>
              <w:tabs>
                <w:tab w:val="left" w:pos="723"/>
              </w:tabs>
              <w:spacing w:line="280" w:lineRule="atLeast"/>
              <w:ind w:leftChars="100" w:left="680" w:hangingChars="200" w:hanging="480"/>
              <w:jc w:val="both"/>
              <w:rPr>
                <w:rFonts w:ascii="標楷體" w:eastAsia="標楷體" w:hAnsi="標楷體" w:cs="細明體"/>
                <w:sz w:val="24"/>
                <w:szCs w:val="24"/>
              </w:rPr>
            </w:pPr>
            <w:r w:rsidRPr="007950CF">
              <w:rPr>
                <w:rFonts w:ascii="標楷體" w:eastAsia="標楷體" w:hAnsi="標楷體" w:cs="細明體" w:hint="eastAsia"/>
                <w:sz w:val="24"/>
                <w:szCs w:val="24"/>
              </w:rPr>
              <w:t>一、該指數股票型基金受益憑證於本中心等價成交系統所揭示之最佳一檔買賣價差範圍，其計算公式如下：</w:t>
            </w:r>
          </w:p>
          <w:p w14:paraId="56837B1C" w14:textId="77777777" w:rsidR="007950CF" w:rsidRPr="007950CF" w:rsidRDefault="007950CF" w:rsidP="007950CF">
            <w:pPr>
              <w:widowControl/>
              <w:ind w:leftChars="336" w:left="672"/>
              <w:jc w:val="both"/>
              <w:rPr>
                <w:rFonts w:ascii="標楷體" w:eastAsia="標楷體" w:hAnsi="標楷體" w:cs="細明體"/>
                <w:sz w:val="24"/>
                <w:szCs w:val="24"/>
              </w:rPr>
            </w:pPr>
            <w:r w:rsidRPr="007950CF">
              <w:rPr>
                <w:rFonts w:ascii="標楷體" w:eastAsia="標楷體" w:hAnsi="標楷體" w:cs="細明體" w:hint="eastAsia"/>
                <w:sz w:val="24"/>
                <w:szCs w:val="24"/>
              </w:rPr>
              <w:t>最佳一檔買賣價差＝（未成交之最低賣出申</w:t>
            </w:r>
            <w:r w:rsidRPr="007950CF">
              <w:rPr>
                <w:rFonts w:ascii="標楷體" w:eastAsia="標楷體" w:hAnsi="標楷體" w:cs="細明體" w:hint="eastAsia"/>
                <w:sz w:val="24"/>
                <w:szCs w:val="24"/>
              </w:rPr>
              <w:lastRenderedPageBreak/>
              <w:t>報價格－未成交之最高買進申報價格）÷未成交之最低賣出申報價格。</w:t>
            </w:r>
          </w:p>
          <w:p w14:paraId="3B30FDDA" w14:textId="77777777" w:rsidR="007950CF" w:rsidRPr="007950CF" w:rsidRDefault="007950CF" w:rsidP="00933ECF">
            <w:pPr>
              <w:widowControl/>
              <w:tabs>
                <w:tab w:val="left" w:pos="723"/>
              </w:tabs>
              <w:spacing w:line="280" w:lineRule="atLeast"/>
              <w:ind w:leftChars="100" w:left="680" w:hangingChars="200" w:hanging="480"/>
              <w:jc w:val="both"/>
              <w:rPr>
                <w:rFonts w:ascii="標楷體" w:eastAsia="標楷體" w:hAnsi="標楷體" w:cs="細明體"/>
                <w:sz w:val="24"/>
                <w:szCs w:val="24"/>
              </w:rPr>
            </w:pPr>
            <w:r w:rsidRPr="007950CF">
              <w:rPr>
                <w:rFonts w:ascii="標楷體" w:eastAsia="標楷體" w:hAnsi="標楷體" w:cs="細明體" w:hint="eastAsia"/>
                <w:sz w:val="24"/>
                <w:szCs w:val="24"/>
              </w:rPr>
              <w:t>二、流動量提供者對該指數股票型基金受益憑證之最少參與撮合次數。所稱參與撮合次數係指買進、賣出之申報，其價格均介於前一次未成交之最低賣出申報價格以上特定範圍及未成交之最高買進申報價格以下特定範圍或成交價上下特定範圍內，參與本中心等價成交系統撮合之次數，且針對參與上揭撮合次數計算之買進及賣出申報，應訂定最低數量標準。</w:t>
            </w:r>
          </w:p>
          <w:p w14:paraId="618755C1" w14:textId="77777777" w:rsidR="007950CF" w:rsidRPr="007950CF" w:rsidRDefault="007950CF" w:rsidP="00933ECF">
            <w:pPr>
              <w:widowControl/>
              <w:tabs>
                <w:tab w:val="left" w:pos="723"/>
              </w:tabs>
              <w:spacing w:line="280" w:lineRule="atLeast"/>
              <w:ind w:leftChars="100" w:left="680" w:hangingChars="200" w:hanging="480"/>
              <w:jc w:val="both"/>
              <w:rPr>
                <w:rFonts w:ascii="標楷體" w:eastAsia="標楷體" w:hAnsi="標楷體" w:cs="細明體"/>
                <w:sz w:val="24"/>
                <w:szCs w:val="24"/>
              </w:rPr>
            </w:pPr>
            <w:r w:rsidRPr="007950CF">
              <w:rPr>
                <w:rFonts w:ascii="標楷體" w:eastAsia="標楷體" w:hAnsi="標楷體" w:cs="細明體" w:hint="eastAsia"/>
                <w:sz w:val="24"/>
                <w:szCs w:val="24"/>
              </w:rPr>
              <w:t>三、流動量提供者於遇該指數股票型基金受益憑證有本中心業務規則第三十五條第四項及第三十五條之十一之情事時，必須於延緩撮合期間申報買進及賣出委託之最低數量標準。</w:t>
            </w:r>
          </w:p>
          <w:p w14:paraId="259F20F0" w14:textId="1FF1CAD8" w:rsidR="007950CF" w:rsidRPr="007950CF" w:rsidRDefault="007950CF" w:rsidP="009177C4">
            <w:pPr>
              <w:widowControl/>
              <w:tabs>
                <w:tab w:val="left" w:pos="723"/>
              </w:tabs>
              <w:spacing w:line="280" w:lineRule="atLeast"/>
              <w:ind w:leftChars="100" w:left="680" w:hangingChars="200" w:hanging="480"/>
              <w:jc w:val="both"/>
              <w:rPr>
                <w:rFonts w:ascii="標楷體" w:eastAsia="標楷體" w:hAnsi="標楷體" w:cs="細明體"/>
                <w:sz w:val="24"/>
                <w:szCs w:val="24"/>
              </w:rPr>
            </w:pPr>
            <w:r w:rsidRPr="007950CF">
              <w:rPr>
                <w:rFonts w:ascii="標楷體" w:eastAsia="標楷體" w:hAnsi="標楷體" w:cs="細明體" w:hint="eastAsia"/>
                <w:sz w:val="24"/>
                <w:szCs w:val="24"/>
              </w:rPr>
              <w:t>四、該指數股票型基金受益憑證價格除漲停或跌停者外，市場行情揭示僅有買進或賣出價格之持續時間限制，</w:t>
            </w:r>
            <w:proofErr w:type="gramStart"/>
            <w:r w:rsidRPr="007950CF">
              <w:rPr>
                <w:rFonts w:ascii="標楷體" w:eastAsia="標楷體" w:hAnsi="標楷體" w:cs="細明體" w:hint="eastAsia"/>
                <w:sz w:val="24"/>
                <w:szCs w:val="24"/>
              </w:rPr>
              <w:t>惟遇有</w:t>
            </w:r>
            <w:proofErr w:type="gramEnd"/>
            <w:r w:rsidRPr="007950CF">
              <w:rPr>
                <w:rFonts w:ascii="標楷體" w:eastAsia="標楷體" w:hAnsi="標楷體" w:cs="細明體" w:hint="eastAsia"/>
                <w:sz w:val="24"/>
                <w:szCs w:val="24"/>
              </w:rPr>
              <w:t>本中心業務規則第三十五條第四項及第三十五條之十一之情事，須延緩撮合時間時，得排除前項時間計算。</w:t>
            </w:r>
          </w:p>
        </w:tc>
        <w:tc>
          <w:tcPr>
            <w:tcW w:w="3210" w:type="dxa"/>
          </w:tcPr>
          <w:p w14:paraId="2CCB3EE0" w14:textId="5D2077BC" w:rsidR="007950CF" w:rsidRPr="007950CF" w:rsidRDefault="007950CF" w:rsidP="00933ECF">
            <w:pPr>
              <w:widowControl/>
              <w:ind w:left="494" w:hangingChars="206" w:hanging="494"/>
              <w:jc w:val="both"/>
              <w:rPr>
                <w:rFonts w:ascii="標楷體" w:eastAsia="標楷體" w:hAnsi="標楷體" w:cs="細明體"/>
                <w:sz w:val="24"/>
                <w:szCs w:val="24"/>
              </w:rPr>
            </w:pPr>
            <w:r w:rsidRPr="007950CF">
              <w:rPr>
                <w:rFonts w:ascii="標楷體" w:eastAsia="標楷體" w:hAnsi="標楷體" w:cs="細明體" w:hint="eastAsia"/>
                <w:sz w:val="24"/>
                <w:szCs w:val="24"/>
              </w:rPr>
              <w:lastRenderedPageBreak/>
              <w:t>陸、提供市場流動量契約對流動量提供者之責任義務至少應規</w:t>
            </w:r>
            <w:r w:rsidRPr="00B0119F">
              <w:rPr>
                <w:rFonts w:ascii="標楷體" w:eastAsia="標楷體" w:hAnsi="標楷體" w:cs="細明體" w:hint="eastAsia"/>
                <w:sz w:val="24"/>
                <w:szCs w:val="24"/>
              </w:rPr>
              <w:t>範下列事項</w:t>
            </w:r>
            <w:r w:rsidRPr="00B0119F">
              <w:rPr>
                <w:rFonts w:ascii="標楷體" w:eastAsia="標楷體" w:hAnsi="標楷體" w:hint="eastAsia"/>
                <w:sz w:val="24"/>
                <w:szCs w:val="24"/>
              </w:rPr>
              <w:t>（</w:t>
            </w:r>
            <w:r w:rsidRPr="00B0119F">
              <w:rPr>
                <w:rFonts w:ascii="標楷體" w:eastAsia="標楷體" w:hAnsi="標楷體" w:cs="細明體" w:hint="eastAsia"/>
                <w:sz w:val="24"/>
                <w:szCs w:val="24"/>
              </w:rPr>
              <w:t>以下標準</w:t>
            </w:r>
            <w:r w:rsidRPr="00B0119F">
              <w:rPr>
                <w:rFonts w:ascii="標楷體" w:eastAsia="標楷體" w:hAnsi="標楷體" w:cs="細明體" w:hint="eastAsia"/>
                <w:color w:val="FF0000"/>
                <w:sz w:val="24"/>
                <w:szCs w:val="24"/>
                <w:u w:val="single"/>
              </w:rPr>
              <w:t>均</w:t>
            </w:r>
            <w:r w:rsidRPr="00B0119F">
              <w:rPr>
                <w:rFonts w:ascii="標楷體" w:eastAsia="標楷體" w:hAnsi="標楷體" w:cs="細明體" w:hint="eastAsia"/>
                <w:sz w:val="24"/>
                <w:szCs w:val="24"/>
              </w:rPr>
              <w:t>應</w:t>
            </w:r>
            <w:r w:rsidRPr="007950CF">
              <w:rPr>
                <w:rFonts w:ascii="標楷體" w:eastAsia="標楷體" w:hAnsi="標楷體" w:cs="細明體" w:hint="eastAsia"/>
                <w:sz w:val="24"/>
                <w:szCs w:val="24"/>
              </w:rPr>
              <w:t>含開市</w:t>
            </w:r>
            <w:r w:rsidRPr="007950CF">
              <w:rPr>
                <w:rFonts w:ascii="標楷體" w:eastAsia="標楷體" w:hAnsi="標楷體" w:cs="細明體" w:hint="eastAsia"/>
                <w:color w:val="FF0000"/>
                <w:sz w:val="24"/>
                <w:szCs w:val="24"/>
                <w:u w:val="single"/>
              </w:rPr>
              <w:t>前三十分鐘及</w:t>
            </w:r>
            <w:r w:rsidRPr="007950CF">
              <w:rPr>
                <w:rFonts w:ascii="標楷體" w:eastAsia="標楷體" w:hAnsi="標楷體" w:cs="細明體" w:hint="eastAsia"/>
                <w:sz w:val="24"/>
                <w:szCs w:val="24"/>
              </w:rPr>
              <w:t>收市前一段時間之試算撮合盤數、試算成交價及試算未成交之申報價格）：</w:t>
            </w:r>
          </w:p>
          <w:p w14:paraId="56DD774B" w14:textId="599507C1" w:rsidR="007950CF" w:rsidRPr="007950CF" w:rsidRDefault="007950CF" w:rsidP="00933ECF">
            <w:pPr>
              <w:widowControl/>
              <w:tabs>
                <w:tab w:val="left" w:pos="723"/>
              </w:tabs>
              <w:spacing w:line="280" w:lineRule="atLeast"/>
              <w:ind w:leftChars="100" w:left="680" w:hangingChars="200" w:hanging="480"/>
              <w:jc w:val="both"/>
              <w:rPr>
                <w:rFonts w:ascii="標楷體" w:eastAsia="標楷體" w:hAnsi="標楷體" w:cs="細明體"/>
                <w:sz w:val="24"/>
                <w:szCs w:val="24"/>
              </w:rPr>
            </w:pPr>
            <w:r w:rsidRPr="007950CF">
              <w:rPr>
                <w:rFonts w:ascii="標楷體" w:eastAsia="標楷體" w:hAnsi="標楷體" w:cs="細明體" w:hint="eastAsia"/>
                <w:sz w:val="24"/>
                <w:szCs w:val="24"/>
              </w:rPr>
              <w:t>一、該指數股票型基金受益憑證於本中心等價成交系統所揭示之最佳一檔買賣價差範圍，其計算公式如下：</w:t>
            </w:r>
          </w:p>
          <w:p w14:paraId="6A62D232" w14:textId="6A781C7B" w:rsidR="007950CF" w:rsidRPr="007950CF" w:rsidRDefault="007950CF" w:rsidP="007950CF">
            <w:pPr>
              <w:widowControl/>
              <w:ind w:leftChars="336" w:left="672"/>
              <w:jc w:val="both"/>
              <w:rPr>
                <w:rFonts w:ascii="標楷體" w:eastAsia="標楷體" w:hAnsi="標楷體" w:cs="細明體"/>
                <w:sz w:val="24"/>
                <w:szCs w:val="24"/>
              </w:rPr>
            </w:pPr>
            <w:r w:rsidRPr="007950CF">
              <w:rPr>
                <w:rFonts w:ascii="標楷體" w:eastAsia="標楷體" w:hAnsi="標楷體" w:cs="細明體" w:hint="eastAsia"/>
                <w:sz w:val="24"/>
                <w:szCs w:val="24"/>
              </w:rPr>
              <w:t>最佳一檔買賣價差＝（未成交之最低賣出申</w:t>
            </w:r>
            <w:r w:rsidRPr="007950CF">
              <w:rPr>
                <w:rFonts w:ascii="標楷體" w:eastAsia="標楷體" w:hAnsi="標楷體" w:cs="細明體" w:hint="eastAsia"/>
                <w:sz w:val="24"/>
                <w:szCs w:val="24"/>
              </w:rPr>
              <w:lastRenderedPageBreak/>
              <w:t>報價格－未成交之最高買進申報價格）÷未成交之最低賣出申報價格。</w:t>
            </w:r>
          </w:p>
          <w:p w14:paraId="683062F7" w14:textId="0F49368C" w:rsidR="007950CF" w:rsidRPr="007950CF" w:rsidRDefault="007950CF" w:rsidP="009177C4">
            <w:pPr>
              <w:widowControl/>
              <w:tabs>
                <w:tab w:val="left" w:pos="723"/>
              </w:tabs>
              <w:spacing w:line="280" w:lineRule="atLeast"/>
              <w:ind w:leftChars="100" w:left="680" w:hangingChars="200" w:hanging="480"/>
              <w:jc w:val="both"/>
              <w:rPr>
                <w:rFonts w:ascii="標楷體" w:eastAsia="標楷體" w:hAnsi="標楷體" w:cs="細明體"/>
                <w:sz w:val="24"/>
                <w:szCs w:val="24"/>
              </w:rPr>
            </w:pPr>
            <w:r w:rsidRPr="007950CF">
              <w:rPr>
                <w:rFonts w:ascii="標楷體" w:eastAsia="標楷體" w:hAnsi="標楷體" w:cs="細明體" w:hint="eastAsia"/>
                <w:sz w:val="24"/>
                <w:szCs w:val="24"/>
              </w:rPr>
              <w:t>二、流動量提供者對該指數股票型基金受益憑證之最少參與撮合次數。所稱參與撮合次數係指買進、賣出之申報，其價格均介於前一次未成交之最低賣出申報價格以上特定範圍及未成交之最高買進申報價格以下特定範圍或成交價上下特定範圍內，參與本中心等價成交系統撮合之次數，且針對參與上揭撮合次數計算之買進及賣出申報，應訂定最低數量標準。</w:t>
            </w:r>
          </w:p>
          <w:p w14:paraId="2A097F70" w14:textId="7B41AC29" w:rsidR="007950CF" w:rsidRPr="007950CF" w:rsidRDefault="007950CF" w:rsidP="00933ECF">
            <w:pPr>
              <w:widowControl/>
              <w:tabs>
                <w:tab w:val="left" w:pos="723"/>
              </w:tabs>
              <w:spacing w:line="280" w:lineRule="atLeast"/>
              <w:ind w:leftChars="100" w:left="680" w:hangingChars="200" w:hanging="480"/>
              <w:jc w:val="both"/>
              <w:rPr>
                <w:rFonts w:ascii="標楷體" w:eastAsia="標楷體" w:hAnsi="標楷體" w:cs="細明體"/>
                <w:sz w:val="24"/>
                <w:szCs w:val="24"/>
              </w:rPr>
            </w:pPr>
            <w:r w:rsidRPr="007950CF">
              <w:rPr>
                <w:rFonts w:ascii="標楷體" w:eastAsia="標楷體" w:hAnsi="標楷體" w:cs="細明體" w:hint="eastAsia"/>
                <w:sz w:val="24"/>
                <w:szCs w:val="24"/>
              </w:rPr>
              <w:t>三、流動量提供者於遇該指數股票型基金受益憑證有本中心業務規則第三十五條第四項及第三十五條之十一之情事時，必須於延緩撮合期間申報買進及賣出委託之最低數量標準。</w:t>
            </w:r>
          </w:p>
          <w:p w14:paraId="64BF5B5F" w14:textId="04D08755" w:rsidR="007950CF" w:rsidRPr="007950CF" w:rsidRDefault="007950CF" w:rsidP="00933ECF">
            <w:pPr>
              <w:widowControl/>
              <w:tabs>
                <w:tab w:val="left" w:pos="723"/>
              </w:tabs>
              <w:spacing w:line="280" w:lineRule="atLeast"/>
              <w:ind w:leftChars="100" w:left="680" w:hangingChars="200" w:hanging="480"/>
              <w:jc w:val="both"/>
              <w:rPr>
                <w:rFonts w:ascii="標楷體" w:eastAsia="標楷體" w:hAnsi="標楷體" w:cs="細明體"/>
                <w:sz w:val="24"/>
                <w:szCs w:val="24"/>
              </w:rPr>
            </w:pPr>
            <w:r w:rsidRPr="007950CF">
              <w:rPr>
                <w:rFonts w:ascii="標楷體" w:eastAsia="標楷體" w:hAnsi="標楷體" w:cs="細明體" w:hint="eastAsia"/>
                <w:sz w:val="24"/>
                <w:szCs w:val="24"/>
              </w:rPr>
              <w:t>四、該指數股票型基金受益憑證價格除漲停或跌停者外，市場行情揭示僅有買進或賣出價格之持續時間限制，</w:t>
            </w:r>
            <w:proofErr w:type="gramStart"/>
            <w:r w:rsidRPr="007950CF">
              <w:rPr>
                <w:rFonts w:ascii="標楷體" w:eastAsia="標楷體" w:hAnsi="標楷體" w:cs="細明體" w:hint="eastAsia"/>
                <w:sz w:val="24"/>
                <w:szCs w:val="24"/>
              </w:rPr>
              <w:t>惟遇有</w:t>
            </w:r>
            <w:proofErr w:type="gramEnd"/>
            <w:r w:rsidRPr="007950CF">
              <w:rPr>
                <w:rFonts w:ascii="標楷體" w:eastAsia="標楷體" w:hAnsi="標楷體" w:cs="細明體" w:hint="eastAsia"/>
                <w:sz w:val="24"/>
                <w:szCs w:val="24"/>
              </w:rPr>
              <w:t>本中心業務規則第三十五條第四項及第三十五條之十一之情事，須延緩撮合時間時，得排除前項時間計算。</w:t>
            </w:r>
          </w:p>
        </w:tc>
        <w:tc>
          <w:tcPr>
            <w:tcW w:w="3211" w:type="dxa"/>
          </w:tcPr>
          <w:p w14:paraId="4051EBF8" w14:textId="2C65A3D7" w:rsidR="007950CF" w:rsidRPr="007950CF" w:rsidRDefault="007950CF" w:rsidP="00D72DC3">
            <w:pPr>
              <w:tabs>
                <w:tab w:val="left" w:pos="497"/>
              </w:tabs>
              <w:jc w:val="both"/>
              <w:rPr>
                <w:rFonts w:eastAsia="標楷體"/>
                <w:color w:val="000000"/>
                <w:sz w:val="24"/>
                <w:szCs w:val="24"/>
              </w:rPr>
            </w:pPr>
            <w:r w:rsidRPr="007950CF">
              <w:rPr>
                <w:rFonts w:eastAsia="標楷體" w:hint="eastAsia"/>
                <w:color w:val="000000"/>
                <w:sz w:val="24"/>
                <w:szCs w:val="24"/>
              </w:rPr>
              <w:lastRenderedPageBreak/>
              <w:t>現行開市前</w:t>
            </w:r>
            <w:r w:rsidRPr="007950CF">
              <w:rPr>
                <w:rFonts w:eastAsia="標楷體" w:hint="eastAsia"/>
                <w:color w:val="000000"/>
                <w:sz w:val="24"/>
                <w:szCs w:val="24"/>
              </w:rPr>
              <w:t>30</w:t>
            </w:r>
            <w:r w:rsidRPr="007950CF">
              <w:rPr>
                <w:rFonts w:eastAsia="標楷體" w:hint="eastAsia"/>
                <w:color w:val="000000"/>
                <w:sz w:val="24"/>
                <w:szCs w:val="24"/>
              </w:rPr>
              <w:t>分鐘</w:t>
            </w:r>
            <w:r w:rsidRPr="007950CF">
              <w:rPr>
                <w:rFonts w:eastAsia="標楷體" w:hint="eastAsia"/>
                <w:color w:val="000000"/>
                <w:sz w:val="24"/>
                <w:szCs w:val="24"/>
              </w:rPr>
              <w:t>(</w:t>
            </w:r>
            <w:r w:rsidRPr="007950CF">
              <w:rPr>
                <w:rFonts w:eastAsia="標楷體" w:hint="eastAsia"/>
                <w:color w:val="000000"/>
                <w:sz w:val="24"/>
                <w:szCs w:val="24"/>
              </w:rPr>
              <w:t>上午</w:t>
            </w:r>
            <w:r w:rsidRPr="007950CF">
              <w:rPr>
                <w:rFonts w:eastAsia="標楷體" w:hint="eastAsia"/>
                <w:color w:val="000000"/>
                <w:sz w:val="24"/>
                <w:szCs w:val="24"/>
              </w:rPr>
              <w:t>8</w:t>
            </w:r>
            <w:r w:rsidRPr="007950CF">
              <w:rPr>
                <w:rFonts w:eastAsia="標楷體" w:hint="eastAsia"/>
                <w:color w:val="000000"/>
                <w:sz w:val="24"/>
                <w:szCs w:val="24"/>
              </w:rPr>
              <w:t>時</w:t>
            </w:r>
            <w:r w:rsidRPr="007950CF">
              <w:rPr>
                <w:rFonts w:eastAsia="標楷體" w:hint="eastAsia"/>
                <w:color w:val="000000"/>
                <w:sz w:val="24"/>
                <w:szCs w:val="24"/>
              </w:rPr>
              <w:t>30</w:t>
            </w:r>
            <w:r w:rsidRPr="007950CF">
              <w:rPr>
                <w:rFonts w:eastAsia="標楷體" w:hint="eastAsia"/>
                <w:color w:val="000000"/>
                <w:sz w:val="24"/>
                <w:szCs w:val="24"/>
              </w:rPr>
              <w:t>分至</w:t>
            </w:r>
            <w:r w:rsidRPr="007950CF">
              <w:rPr>
                <w:rFonts w:eastAsia="標楷體" w:hint="eastAsia"/>
                <w:color w:val="000000"/>
                <w:sz w:val="24"/>
                <w:szCs w:val="24"/>
              </w:rPr>
              <w:t>9</w:t>
            </w:r>
            <w:r w:rsidRPr="007950CF">
              <w:rPr>
                <w:rFonts w:eastAsia="標楷體" w:hint="eastAsia"/>
                <w:color w:val="000000"/>
                <w:sz w:val="24"/>
                <w:szCs w:val="24"/>
              </w:rPr>
              <w:t>時</w:t>
            </w:r>
            <w:r w:rsidRPr="007950CF">
              <w:rPr>
                <w:rFonts w:eastAsia="標楷體" w:hint="eastAsia"/>
                <w:color w:val="000000"/>
                <w:sz w:val="24"/>
                <w:szCs w:val="24"/>
              </w:rPr>
              <w:t>)</w:t>
            </w:r>
            <w:r w:rsidRPr="007950CF">
              <w:rPr>
                <w:rFonts w:eastAsia="標楷體" w:hint="eastAsia"/>
                <w:color w:val="000000"/>
                <w:sz w:val="24"/>
                <w:szCs w:val="24"/>
              </w:rPr>
              <w:t>揭示之模擬買賣價格資訊無實際成交，該段時間報價對</w:t>
            </w:r>
            <w:r w:rsidRPr="007950CF">
              <w:rPr>
                <w:rFonts w:eastAsia="標楷體" w:hint="eastAsia"/>
                <w:color w:val="000000"/>
                <w:sz w:val="24"/>
                <w:szCs w:val="24"/>
              </w:rPr>
              <w:t>ETF</w:t>
            </w:r>
            <w:r w:rsidRPr="007950CF">
              <w:rPr>
                <w:rFonts w:eastAsia="標楷體" w:hint="eastAsia"/>
                <w:color w:val="000000"/>
                <w:sz w:val="24"/>
                <w:szCs w:val="24"/>
              </w:rPr>
              <w:t>之流動性並無助益，</w:t>
            </w:r>
            <w:r w:rsidR="00C504FF" w:rsidRPr="00C504FF">
              <w:rPr>
                <w:rFonts w:eastAsia="標楷體" w:hint="eastAsia"/>
                <w:color w:val="000000"/>
                <w:sz w:val="24"/>
                <w:szCs w:val="24"/>
              </w:rPr>
              <w:t>參酌權證係在開盤後</w:t>
            </w:r>
            <w:r w:rsidR="00C504FF" w:rsidRPr="00C504FF">
              <w:rPr>
                <w:rFonts w:eastAsia="標楷體" w:hint="eastAsia"/>
                <w:color w:val="000000"/>
                <w:sz w:val="24"/>
                <w:szCs w:val="24"/>
              </w:rPr>
              <w:t>5</w:t>
            </w:r>
            <w:r w:rsidR="00C504FF" w:rsidRPr="00C504FF">
              <w:rPr>
                <w:rFonts w:eastAsia="標楷體" w:hint="eastAsia"/>
                <w:color w:val="000000"/>
                <w:sz w:val="24"/>
                <w:szCs w:val="24"/>
              </w:rPr>
              <w:t>分鐘始進行報價，且</w:t>
            </w:r>
            <w:r w:rsidRPr="007950CF">
              <w:rPr>
                <w:rFonts w:eastAsia="標楷體" w:hint="eastAsia"/>
                <w:color w:val="000000"/>
                <w:sz w:val="24"/>
                <w:szCs w:val="24"/>
              </w:rPr>
              <w:t>投資人於開盤前委託可參考基本市</w:t>
            </w:r>
            <w:proofErr w:type="gramStart"/>
            <w:r w:rsidRPr="007950CF">
              <w:rPr>
                <w:rFonts w:eastAsia="標楷體" w:hint="eastAsia"/>
                <w:color w:val="000000"/>
                <w:sz w:val="24"/>
                <w:szCs w:val="24"/>
              </w:rPr>
              <w:t>況</w:t>
            </w:r>
            <w:proofErr w:type="gramEnd"/>
            <w:r w:rsidRPr="007950CF">
              <w:rPr>
                <w:rFonts w:eastAsia="標楷體" w:hint="eastAsia"/>
                <w:color w:val="000000"/>
                <w:sz w:val="24"/>
                <w:szCs w:val="24"/>
              </w:rPr>
              <w:t>報導網站或發行人網站提供之</w:t>
            </w:r>
            <w:r w:rsidRPr="007950CF">
              <w:rPr>
                <w:rFonts w:eastAsia="標楷體" w:hint="eastAsia"/>
                <w:color w:val="000000"/>
                <w:sz w:val="24"/>
                <w:szCs w:val="24"/>
              </w:rPr>
              <w:t>ETF</w:t>
            </w:r>
            <w:r w:rsidRPr="007950CF">
              <w:rPr>
                <w:rFonts w:eastAsia="標楷體" w:hint="eastAsia"/>
                <w:color w:val="000000"/>
                <w:sz w:val="24"/>
                <w:szCs w:val="24"/>
              </w:rPr>
              <w:t>前一日淨值或即時預估淨值，</w:t>
            </w:r>
            <w:proofErr w:type="gramStart"/>
            <w:r w:rsidRPr="007950CF">
              <w:rPr>
                <w:rFonts w:eastAsia="標楷體" w:hint="eastAsia"/>
                <w:color w:val="000000"/>
                <w:sz w:val="24"/>
                <w:szCs w:val="24"/>
              </w:rPr>
              <w:t>爰</w:t>
            </w:r>
            <w:proofErr w:type="gramEnd"/>
            <w:r w:rsidRPr="007950CF">
              <w:rPr>
                <w:rFonts w:eastAsia="標楷體" w:hint="eastAsia"/>
                <w:color w:val="000000"/>
                <w:sz w:val="24"/>
                <w:szCs w:val="24"/>
              </w:rPr>
              <w:t>修正</w:t>
            </w:r>
            <w:r w:rsidR="00267CA2">
              <w:rPr>
                <w:rFonts w:eastAsia="標楷體" w:hint="eastAsia"/>
                <w:color w:val="000000"/>
                <w:sz w:val="24"/>
                <w:szCs w:val="24"/>
              </w:rPr>
              <w:t>序文</w:t>
            </w:r>
            <w:r w:rsidRPr="007950CF">
              <w:rPr>
                <w:rFonts w:eastAsia="標楷體" w:hint="eastAsia"/>
                <w:color w:val="000000"/>
                <w:sz w:val="24"/>
                <w:szCs w:val="24"/>
              </w:rPr>
              <w:t>之規定。</w:t>
            </w:r>
          </w:p>
        </w:tc>
      </w:tr>
      <w:tr w:rsidR="007950CF" w:rsidRPr="007950CF" w14:paraId="67B4078A" w14:textId="77777777" w:rsidTr="006B3236">
        <w:trPr>
          <w:trHeight w:val="1455"/>
          <w:jc w:val="center"/>
        </w:trPr>
        <w:tc>
          <w:tcPr>
            <w:tcW w:w="3210" w:type="dxa"/>
          </w:tcPr>
          <w:p w14:paraId="1B5FD9CC" w14:textId="77777777" w:rsidR="007950CF" w:rsidRPr="007950CF" w:rsidRDefault="007950CF" w:rsidP="00DF4D7F">
            <w:pPr>
              <w:widowControl/>
              <w:tabs>
                <w:tab w:val="left" w:pos="485"/>
              </w:tabs>
              <w:ind w:left="480" w:hangingChars="200" w:hanging="480"/>
              <w:jc w:val="both"/>
              <w:rPr>
                <w:rFonts w:ascii="標楷體" w:eastAsia="標楷體" w:hAnsi="標楷體" w:cs="細明體"/>
                <w:sz w:val="24"/>
                <w:szCs w:val="24"/>
              </w:rPr>
            </w:pPr>
            <w:r w:rsidRPr="007950CF">
              <w:rPr>
                <w:rFonts w:ascii="標楷體" w:eastAsia="標楷體" w:hAnsi="標楷體" w:cs="細明體" w:hint="eastAsia"/>
                <w:sz w:val="24"/>
                <w:szCs w:val="24"/>
              </w:rPr>
              <w:lastRenderedPageBreak/>
              <w:t>陸之一、指數股票型基金受益憑證如連續三個月有以下市場行情揭示情事，本中心將通知發行指數股票型基金受益憑證之投信事業</w:t>
            </w:r>
            <w:proofErr w:type="gramStart"/>
            <w:r w:rsidRPr="007950CF">
              <w:rPr>
                <w:rFonts w:ascii="標楷體" w:eastAsia="標楷體" w:hAnsi="標楷體" w:cs="細明體" w:hint="eastAsia"/>
                <w:sz w:val="24"/>
                <w:szCs w:val="24"/>
              </w:rPr>
              <w:t>或期信事業</w:t>
            </w:r>
            <w:proofErr w:type="gramEnd"/>
            <w:r w:rsidRPr="007950CF">
              <w:rPr>
                <w:rFonts w:ascii="標楷體" w:eastAsia="標楷體" w:hAnsi="標楷體" w:cs="細明體" w:hint="eastAsia"/>
                <w:sz w:val="24"/>
                <w:szCs w:val="24"/>
              </w:rPr>
              <w:t>於通知後次月起二個月內改善；未於期限內改善者，本中心將發函警告；自次月起二個月內仍未改善，視為違反指數股票型基金受益憑證櫃檯買賣契約，本中心對該投信事業</w:t>
            </w:r>
            <w:proofErr w:type="gramStart"/>
            <w:r w:rsidRPr="007950CF">
              <w:rPr>
                <w:rFonts w:ascii="標楷體" w:eastAsia="標楷體" w:hAnsi="標楷體" w:cs="細明體" w:hint="eastAsia"/>
                <w:sz w:val="24"/>
                <w:szCs w:val="24"/>
              </w:rPr>
              <w:t>或期信事業</w:t>
            </w:r>
            <w:proofErr w:type="gramEnd"/>
            <w:r w:rsidRPr="007950CF">
              <w:rPr>
                <w:rFonts w:ascii="標楷體" w:eastAsia="標楷體" w:hAnsi="標楷體" w:cs="細明體" w:hint="eastAsia"/>
                <w:sz w:val="24"/>
                <w:szCs w:val="24"/>
              </w:rPr>
              <w:t>課以新臺幣</w:t>
            </w:r>
            <w:proofErr w:type="gramStart"/>
            <w:r w:rsidRPr="007950CF">
              <w:rPr>
                <w:rFonts w:ascii="標楷體" w:eastAsia="標楷體" w:hAnsi="標楷體" w:cs="細明體" w:hint="eastAsia"/>
                <w:sz w:val="24"/>
                <w:szCs w:val="24"/>
              </w:rPr>
              <w:t>三</w:t>
            </w:r>
            <w:proofErr w:type="gramEnd"/>
            <w:r w:rsidRPr="007950CF">
              <w:rPr>
                <w:rFonts w:ascii="標楷體" w:eastAsia="標楷體" w:hAnsi="標楷體" w:cs="細明體" w:hint="eastAsia"/>
                <w:sz w:val="24"/>
                <w:szCs w:val="24"/>
              </w:rPr>
              <w:t>萬元之違約金，且每三</w:t>
            </w:r>
            <w:proofErr w:type="gramStart"/>
            <w:r w:rsidRPr="007950CF">
              <w:rPr>
                <w:rFonts w:ascii="標楷體" w:eastAsia="標楷體" w:hAnsi="標楷體" w:cs="細明體" w:hint="eastAsia"/>
                <w:sz w:val="24"/>
                <w:szCs w:val="24"/>
              </w:rPr>
              <w:t>個</w:t>
            </w:r>
            <w:proofErr w:type="gramEnd"/>
            <w:r w:rsidRPr="007950CF">
              <w:rPr>
                <w:rFonts w:ascii="標楷體" w:eastAsia="標楷體" w:hAnsi="標楷體" w:cs="細明體" w:hint="eastAsia"/>
                <w:sz w:val="24"/>
                <w:szCs w:val="24"/>
              </w:rPr>
              <w:t>月查處一次並得連續處分至改善為止。</w:t>
            </w:r>
          </w:p>
          <w:p w14:paraId="47333226" w14:textId="4B49060E" w:rsidR="007950CF" w:rsidRPr="007950CF" w:rsidRDefault="007950CF" w:rsidP="00DF4D7F">
            <w:pPr>
              <w:widowControl/>
              <w:spacing w:line="280" w:lineRule="atLeast"/>
              <w:ind w:leftChars="200" w:left="400" w:firstLineChars="200" w:firstLine="480"/>
              <w:jc w:val="both"/>
              <w:rPr>
                <w:rFonts w:ascii="標楷體" w:eastAsia="標楷體" w:hAnsi="標楷體" w:cs="細明體"/>
                <w:sz w:val="24"/>
                <w:szCs w:val="24"/>
              </w:rPr>
            </w:pPr>
            <w:r w:rsidRPr="007950CF">
              <w:rPr>
                <w:rFonts w:ascii="標楷體" w:eastAsia="標楷體" w:hAnsi="標楷體" w:cs="細明體" w:hint="eastAsia"/>
                <w:sz w:val="24"/>
                <w:szCs w:val="24"/>
              </w:rPr>
              <w:t>國內成分證券指數股票型證券投資信託基金受益憑證及槓桿反向指數股票型證券投資信託基金受益憑證之標的指數成分證券皆為國內股票者，其於開市</w:t>
            </w:r>
            <w:r w:rsidRPr="007950CF">
              <w:rPr>
                <w:rFonts w:ascii="標楷體" w:eastAsia="標楷體" w:hAnsi="標楷體" w:cs="細明體" w:hint="eastAsia"/>
                <w:color w:val="FF0000"/>
                <w:sz w:val="24"/>
                <w:szCs w:val="24"/>
                <w:u w:val="single"/>
              </w:rPr>
              <w:t>後</w:t>
            </w:r>
            <w:r w:rsidRPr="007950CF">
              <w:rPr>
                <w:rFonts w:ascii="標楷體" w:eastAsia="標楷體" w:hAnsi="標楷體" w:cs="細明體" w:hint="eastAsia"/>
                <w:sz w:val="24"/>
                <w:szCs w:val="24"/>
              </w:rPr>
              <w:t>至收市之市場行情揭示（含收市前一段時間試算買賣揭示價格），每月分別不得有下列情事超過二次：</w:t>
            </w:r>
          </w:p>
          <w:p w14:paraId="1217C57F" w14:textId="77777777" w:rsidR="007950CF" w:rsidRPr="007950CF" w:rsidRDefault="007950CF" w:rsidP="007950CF">
            <w:pPr>
              <w:widowControl/>
              <w:tabs>
                <w:tab w:val="left" w:pos="678"/>
              </w:tabs>
              <w:spacing w:line="280" w:lineRule="atLeast"/>
              <w:ind w:leftChars="100" w:left="692" w:hangingChars="205" w:hanging="492"/>
              <w:jc w:val="both"/>
              <w:rPr>
                <w:rFonts w:ascii="標楷體" w:eastAsia="標楷體" w:hAnsi="標楷體" w:cs="細明體"/>
                <w:sz w:val="24"/>
                <w:szCs w:val="24"/>
              </w:rPr>
            </w:pPr>
            <w:r w:rsidRPr="007950CF">
              <w:rPr>
                <w:rFonts w:ascii="標楷體" w:eastAsia="標楷體" w:hAnsi="標楷體" w:cs="細明體" w:hint="eastAsia"/>
                <w:sz w:val="24"/>
                <w:szCs w:val="24"/>
              </w:rPr>
              <w:t>一、</w:t>
            </w:r>
            <w:r w:rsidRPr="007950CF">
              <w:rPr>
                <w:rFonts w:ascii="標楷體" w:eastAsia="標楷體" w:hAnsi="標楷體" w:cs="細明體"/>
                <w:sz w:val="24"/>
                <w:szCs w:val="24"/>
              </w:rPr>
              <w:tab/>
            </w:r>
            <w:r w:rsidRPr="007950CF">
              <w:rPr>
                <w:rFonts w:ascii="標楷體" w:eastAsia="標楷體" w:hAnsi="標楷體" w:cs="細明體" w:hint="eastAsia"/>
                <w:sz w:val="24"/>
                <w:szCs w:val="24"/>
              </w:rPr>
              <w:t>揭示價格除漲停買進或跌停賣出者外，市場行情揭示僅有買進或賣出揭示價格且持續逾三分鐘。</w:t>
            </w:r>
          </w:p>
          <w:p w14:paraId="3500414D" w14:textId="77777777" w:rsidR="007950CF" w:rsidRPr="007950CF" w:rsidRDefault="007950CF" w:rsidP="007950CF">
            <w:pPr>
              <w:widowControl/>
              <w:tabs>
                <w:tab w:val="left" w:pos="678"/>
              </w:tabs>
              <w:spacing w:line="280" w:lineRule="atLeast"/>
              <w:ind w:leftChars="100" w:left="692" w:hangingChars="205" w:hanging="492"/>
              <w:jc w:val="both"/>
              <w:rPr>
                <w:rFonts w:ascii="標楷體" w:eastAsia="標楷體" w:hAnsi="標楷體" w:cs="細明體"/>
                <w:sz w:val="24"/>
                <w:szCs w:val="24"/>
              </w:rPr>
            </w:pPr>
            <w:r w:rsidRPr="007950CF">
              <w:rPr>
                <w:rFonts w:ascii="標楷體" w:eastAsia="標楷體" w:hAnsi="標楷體" w:cs="細明體" w:hint="eastAsia"/>
                <w:sz w:val="24"/>
                <w:szCs w:val="24"/>
              </w:rPr>
              <w:t>二、</w:t>
            </w:r>
            <w:r w:rsidRPr="007950CF">
              <w:rPr>
                <w:rFonts w:ascii="標楷體" w:eastAsia="標楷體" w:hAnsi="標楷體" w:cs="細明體"/>
                <w:sz w:val="24"/>
                <w:szCs w:val="24"/>
              </w:rPr>
              <w:tab/>
            </w:r>
            <w:r w:rsidRPr="007950CF">
              <w:rPr>
                <w:rFonts w:ascii="標楷體" w:eastAsia="標楷體" w:hAnsi="標楷體" w:cs="細明體" w:hint="eastAsia"/>
                <w:sz w:val="24"/>
                <w:szCs w:val="24"/>
              </w:rPr>
              <w:t>最佳一檔買賣價差大於百分之一且持續逾十分鐘。</w:t>
            </w:r>
          </w:p>
          <w:p w14:paraId="65D5E83C" w14:textId="77777777" w:rsidR="007950CF" w:rsidRPr="007950CF" w:rsidRDefault="007950CF" w:rsidP="007950CF">
            <w:pPr>
              <w:widowControl/>
              <w:tabs>
                <w:tab w:val="left" w:pos="678"/>
              </w:tabs>
              <w:spacing w:line="280" w:lineRule="atLeast"/>
              <w:ind w:leftChars="100" w:left="692" w:hangingChars="205" w:hanging="492"/>
              <w:jc w:val="both"/>
              <w:rPr>
                <w:rFonts w:ascii="標楷體" w:eastAsia="標楷體" w:hAnsi="標楷體" w:cs="細明體"/>
                <w:sz w:val="24"/>
                <w:szCs w:val="24"/>
              </w:rPr>
            </w:pPr>
            <w:r w:rsidRPr="007950CF">
              <w:rPr>
                <w:rFonts w:ascii="標楷體" w:eastAsia="標楷體" w:hAnsi="標楷體" w:cs="細明體" w:hint="eastAsia"/>
                <w:sz w:val="24"/>
                <w:szCs w:val="24"/>
              </w:rPr>
              <w:t>三、</w:t>
            </w:r>
            <w:r w:rsidRPr="007950CF">
              <w:rPr>
                <w:rFonts w:ascii="標楷體" w:eastAsia="標楷體" w:hAnsi="標楷體" w:cs="細明體"/>
                <w:sz w:val="24"/>
                <w:szCs w:val="24"/>
              </w:rPr>
              <w:tab/>
            </w:r>
            <w:r w:rsidRPr="007950CF">
              <w:rPr>
                <w:rFonts w:ascii="標楷體" w:eastAsia="標楷體" w:hAnsi="標楷體" w:cs="細明體" w:hint="eastAsia"/>
                <w:sz w:val="24"/>
                <w:szCs w:val="24"/>
              </w:rPr>
              <w:t>遇有本中心業務規則第三十五條第四項及第三十五條之十一情事，須</w:t>
            </w:r>
            <w:r w:rsidRPr="007950CF">
              <w:rPr>
                <w:rFonts w:ascii="標楷體" w:eastAsia="標楷體" w:hAnsi="標楷體" w:cs="細明體" w:hint="eastAsia"/>
                <w:sz w:val="24"/>
                <w:szCs w:val="24"/>
              </w:rPr>
              <w:lastRenderedPageBreak/>
              <w:t>延緩撮合時間時，得排除前述時間之計算。</w:t>
            </w:r>
          </w:p>
          <w:p w14:paraId="5A3B27A7" w14:textId="079189C2" w:rsidR="007950CF" w:rsidRPr="007950CF" w:rsidRDefault="007950CF" w:rsidP="00DF4D7F">
            <w:pPr>
              <w:widowControl/>
              <w:spacing w:line="280" w:lineRule="atLeast"/>
              <w:ind w:leftChars="200" w:left="400" w:firstLineChars="200" w:firstLine="480"/>
              <w:jc w:val="both"/>
              <w:rPr>
                <w:rFonts w:ascii="標楷體" w:eastAsia="標楷體" w:hAnsi="標楷體" w:cs="細明體"/>
                <w:sz w:val="24"/>
                <w:szCs w:val="24"/>
              </w:rPr>
            </w:pPr>
            <w:r w:rsidRPr="007950CF">
              <w:rPr>
                <w:rFonts w:ascii="標楷體" w:eastAsia="標楷體" w:hAnsi="標楷體" w:cs="細明體" w:hint="eastAsia"/>
                <w:sz w:val="24"/>
                <w:szCs w:val="24"/>
              </w:rPr>
              <w:t>國外成分證券指數股票型證券投資信託基金受益憑證、指數股票型期貨信託基金受益憑證、標的指數成分證券含一種以上國外有價證券之槓桿反向指數股票型證券投資信託基金受益憑證、國內債券成分指數股票型證券投資信託基金受益憑證及</w:t>
            </w:r>
            <w:r w:rsidRPr="007950CF">
              <w:rPr>
                <w:rFonts w:ascii="標楷體" w:eastAsia="標楷體" w:hAnsi="標楷體" w:cs="新細明體" w:hint="eastAsia"/>
                <w:sz w:val="24"/>
                <w:szCs w:val="24"/>
              </w:rPr>
              <w:t>國內債券成分之槓桿反向</w:t>
            </w:r>
            <w:r w:rsidRPr="007950CF">
              <w:rPr>
                <w:rFonts w:ascii="標楷體" w:eastAsia="標楷體" w:hAnsi="標楷體" w:cs="細明體" w:hint="eastAsia"/>
                <w:sz w:val="24"/>
                <w:szCs w:val="24"/>
              </w:rPr>
              <w:t>指數股票型證券投資信託基金受益憑證，其於開市</w:t>
            </w:r>
            <w:r w:rsidRPr="007950CF">
              <w:rPr>
                <w:rFonts w:ascii="標楷體" w:eastAsia="標楷體" w:hAnsi="標楷體" w:cs="細明體" w:hint="eastAsia"/>
                <w:color w:val="FF0000"/>
                <w:sz w:val="24"/>
                <w:szCs w:val="24"/>
                <w:u w:val="single"/>
              </w:rPr>
              <w:t>後</w:t>
            </w:r>
            <w:r w:rsidRPr="007950CF">
              <w:rPr>
                <w:rFonts w:ascii="標楷體" w:eastAsia="標楷體" w:hAnsi="標楷體" w:cs="細明體" w:hint="eastAsia"/>
                <w:sz w:val="24"/>
                <w:szCs w:val="24"/>
              </w:rPr>
              <w:t>至收市之市場行情揭示（含收市前一段時間試算買賣揭示價格）每月合計不得有下列情事超過六次：</w:t>
            </w:r>
          </w:p>
          <w:p w14:paraId="755E99A3" w14:textId="77777777" w:rsidR="007950CF" w:rsidRPr="007950CF" w:rsidRDefault="007950CF" w:rsidP="00DF4D7F">
            <w:pPr>
              <w:widowControl/>
              <w:tabs>
                <w:tab w:val="left" w:pos="723"/>
              </w:tabs>
              <w:spacing w:line="280" w:lineRule="atLeast"/>
              <w:ind w:leftChars="100" w:left="680" w:hangingChars="200" w:hanging="480"/>
              <w:jc w:val="both"/>
              <w:rPr>
                <w:rFonts w:ascii="標楷體" w:eastAsia="標楷體" w:hAnsi="標楷體" w:cs="細明體"/>
                <w:sz w:val="24"/>
                <w:szCs w:val="24"/>
              </w:rPr>
            </w:pPr>
          </w:p>
          <w:p w14:paraId="2A6D140D" w14:textId="77777777" w:rsidR="007950CF" w:rsidRPr="007950CF" w:rsidRDefault="007950CF" w:rsidP="007950CF">
            <w:pPr>
              <w:widowControl/>
              <w:tabs>
                <w:tab w:val="left" w:pos="678"/>
              </w:tabs>
              <w:spacing w:line="280" w:lineRule="atLeast"/>
              <w:ind w:leftChars="100" w:left="692" w:hangingChars="205" w:hanging="492"/>
              <w:jc w:val="both"/>
              <w:rPr>
                <w:rFonts w:ascii="標楷體" w:eastAsia="標楷體" w:hAnsi="標楷體" w:cs="細明體"/>
                <w:sz w:val="24"/>
                <w:szCs w:val="24"/>
              </w:rPr>
            </w:pPr>
            <w:r w:rsidRPr="007950CF">
              <w:rPr>
                <w:rFonts w:ascii="標楷體" w:eastAsia="標楷體" w:hAnsi="標楷體" w:cs="細明體" w:hint="eastAsia"/>
                <w:sz w:val="24"/>
                <w:szCs w:val="24"/>
              </w:rPr>
              <w:t>一、</w:t>
            </w:r>
            <w:r w:rsidRPr="007950CF">
              <w:rPr>
                <w:rFonts w:ascii="標楷體" w:eastAsia="標楷體" w:hAnsi="標楷體" w:cs="細明體"/>
                <w:sz w:val="24"/>
                <w:szCs w:val="24"/>
              </w:rPr>
              <w:tab/>
            </w:r>
            <w:r w:rsidRPr="007950CF">
              <w:rPr>
                <w:rFonts w:ascii="標楷體" w:eastAsia="標楷體" w:hAnsi="標楷體" w:cs="細明體" w:hint="eastAsia"/>
                <w:sz w:val="24"/>
                <w:szCs w:val="24"/>
              </w:rPr>
              <w:t>揭示價格除漲停買進或跌停賣出者外，市場行情揭示僅有買進或賣出揭示價格且持續逾十分鐘。</w:t>
            </w:r>
          </w:p>
          <w:p w14:paraId="35A6FD28" w14:textId="77777777" w:rsidR="007950CF" w:rsidRPr="007950CF" w:rsidRDefault="007950CF" w:rsidP="007950CF">
            <w:pPr>
              <w:widowControl/>
              <w:tabs>
                <w:tab w:val="left" w:pos="678"/>
              </w:tabs>
              <w:spacing w:line="280" w:lineRule="atLeast"/>
              <w:ind w:leftChars="100" w:left="692" w:hangingChars="205" w:hanging="492"/>
              <w:jc w:val="both"/>
              <w:rPr>
                <w:rFonts w:ascii="標楷體" w:eastAsia="標楷體" w:hAnsi="標楷體" w:cs="細明體"/>
                <w:sz w:val="24"/>
                <w:szCs w:val="24"/>
              </w:rPr>
            </w:pPr>
            <w:r w:rsidRPr="007950CF">
              <w:rPr>
                <w:rFonts w:ascii="標楷體" w:eastAsia="標楷體" w:hAnsi="標楷體" w:cs="細明體" w:hint="eastAsia"/>
                <w:sz w:val="24"/>
                <w:szCs w:val="24"/>
              </w:rPr>
              <w:t>二、</w:t>
            </w:r>
            <w:r w:rsidRPr="007950CF">
              <w:rPr>
                <w:rFonts w:ascii="標楷體" w:eastAsia="標楷體" w:hAnsi="標楷體" w:cs="細明體"/>
                <w:sz w:val="24"/>
                <w:szCs w:val="24"/>
              </w:rPr>
              <w:tab/>
            </w:r>
            <w:r w:rsidRPr="007950CF">
              <w:rPr>
                <w:rFonts w:ascii="標楷體" w:eastAsia="標楷體" w:hAnsi="標楷體" w:cs="細明體" w:hint="eastAsia"/>
                <w:sz w:val="24"/>
                <w:szCs w:val="24"/>
              </w:rPr>
              <w:t>最佳一檔買賣價差大於百分之三且持續逾十分鐘。</w:t>
            </w:r>
          </w:p>
          <w:p w14:paraId="624AB77A" w14:textId="77777777" w:rsidR="007950CF" w:rsidRPr="007950CF" w:rsidRDefault="007950CF" w:rsidP="007950CF">
            <w:pPr>
              <w:widowControl/>
              <w:tabs>
                <w:tab w:val="left" w:pos="678"/>
              </w:tabs>
              <w:spacing w:line="280" w:lineRule="atLeast"/>
              <w:ind w:leftChars="100" w:left="692" w:hangingChars="205" w:hanging="492"/>
              <w:jc w:val="both"/>
              <w:rPr>
                <w:rFonts w:ascii="標楷體" w:eastAsia="標楷體" w:hAnsi="標楷體" w:cs="細明體"/>
                <w:sz w:val="24"/>
                <w:szCs w:val="24"/>
              </w:rPr>
            </w:pPr>
            <w:r w:rsidRPr="007950CF">
              <w:rPr>
                <w:rFonts w:ascii="標楷體" w:eastAsia="標楷體" w:hAnsi="標楷體" w:cs="細明體" w:hint="eastAsia"/>
                <w:sz w:val="24"/>
                <w:szCs w:val="24"/>
              </w:rPr>
              <w:t>三、</w:t>
            </w:r>
            <w:r w:rsidRPr="007950CF">
              <w:rPr>
                <w:rFonts w:ascii="標楷體" w:eastAsia="標楷體" w:hAnsi="標楷體" w:cs="細明體"/>
                <w:sz w:val="24"/>
                <w:szCs w:val="24"/>
              </w:rPr>
              <w:tab/>
            </w:r>
            <w:r w:rsidRPr="007950CF">
              <w:rPr>
                <w:rFonts w:ascii="標楷體" w:eastAsia="標楷體" w:hAnsi="標楷體" w:cs="細明體" w:hint="eastAsia"/>
                <w:sz w:val="24"/>
                <w:szCs w:val="24"/>
              </w:rPr>
              <w:t>遇有本中心業務規則第三十五條第四項及第三十五條之十一情事，須延緩撮合時間，得排除前述次數之計算。</w:t>
            </w:r>
          </w:p>
          <w:p w14:paraId="676DBC41" w14:textId="77777777" w:rsidR="007950CF" w:rsidRPr="007950CF" w:rsidRDefault="007950CF" w:rsidP="007950CF">
            <w:pPr>
              <w:widowControl/>
              <w:tabs>
                <w:tab w:val="left" w:pos="678"/>
              </w:tabs>
              <w:spacing w:line="280" w:lineRule="atLeast"/>
              <w:ind w:leftChars="100" w:left="692" w:hangingChars="205" w:hanging="492"/>
              <w:jc w:val="both"/>
              <w:rPr>
                <w:rFonts w:ascii="標楷體" w:eastAsia="標楷體" w:hAnsi="標楷體" w:cs="細明體"/>
                <w:sz w:val="24"/>
                <w:szCs w:val="24"/>
              </w:rPr>
            </w:pPr>
            <w:r w:rsidRPr="007950CF">
              <w:rPr>
                <w:rFonts w:ascii="標楷體" w:eastAsia="標楷體" w:hAnsi="標楷體" w:cs="細明體" w:hint="eastAsia"/>
                <w:sz w:val="24"/>
                <w:szCs w:val="24"/>
              </w:rPr>
              <w:t>四、</w:t>
            </w:r>
            <w:r w:rsidRPr="007950CF">
              <w:rPr>
                <w:rFonts w:ascii="標楷體" w:eastAsia="標楷體" w:hAnsi="標楷體" w:cs="細明體"/>
                <w:sz w:val="24"/>
                <w:szCs w:val="24"/>
              </w:rPr>
              <w:tab/>
            </w:r>
            <w:r w:rsidRPr="007950CF">
              <w:rPr>
                <w:rFonts w:ascii="標楷體" w:eastAsia="標楷體" w:hAnsi="標楷體" w:cs="細明體" w:hint="eastAsia"/>
                <w:sz w:val="24"/>
                <w:szCs w:val="24"/>
              </w:rPr>
              <w:t>國外成分股及債券成分指數股票型證券投資信託基金之標的指數成分證券，其國外有價證券流通市場休市時，該國外成分股及債券成分指</w:t>
            </w:r>
            <w:r w:rsidRPr="007950CF">
              <w:rPr>
                <w:rFonts w:ascii="標楷體" w:eastAsia="標楷體" w:hAnsi="標楷體" w:cs="細明體" w:hint="eastAsia"/>
                <w:sz w:val="24"/>
                <w:szCs w:val="24"/>
              </w:rPr>
              <w:lastRenderedPageBreak/>
              <w:t>數股票型證券投資信託基金受益憑證當日市場行情揭示排除前述次數之計算。</w:t>
            </w:r>
          </w:p>
          <w:p w14:paraId="77DBE9E5" w14:textId="77777777" w:rsidR="007950CF" w:rsidRPr="007950CF" w:rsidRDefault="007950CF" w:rsidP="007950CF">
            <w:pPr>
              <w:widowControl/>
              <w:tabs>
                <w:tab w:val="left" w:pos="678"/>
              </w:tabs>
              <w:spacing w:line="280" w:lineRule="atLeast"/>
              <w:ind w:leftChars="100" w:left="692" w:hangingChars="205" w:hanging="492"/>
              <w:jc w:val="both"/>
              <w:rPr>
                <w:rFonts w:ascii="標楷體" w:eastAsia="標楷體" w:hAnsi="標楷體" w:cs="細明體"/>
                <w:sz w:val="24"/>
                <w:szCs w:val="24"/>
              </w:rPr>
            </w:pPr>
            <w:r w:rsidRPr="007950CF">
              <w:rPr>
                <w:rFonts w:ascii="標楷體" w:eastAsia="標楷體" w:hAnsi="標楷體" w:cs="細明體" w:hint="eastAsia"/>
                <w:sz w:val="24"/>
                <w:szCs w:val="24"/>
              </w:rPr>
              <w:t>五、</w:t>
            </w:r>
            <w:r w:rsidRPr="007950CF">
              <w:rPr>
                <w:rFonts w:ascii="標楷體" w:eastAsia="標楷體" w:hAnsi="標楷體" w:cs="細明體"/>
                <w:sz w:val="24"/>
                <w:szCs w:val="24"/>
              </w:rPr>
              <w:tab/>
            </w:r>
            <w:r w:rsidRPr="007950CF">
              <w:rPr>
                <w:rFonts w:ascii="標楷體" w:eastAsia="標楷體" w:hAnsi="標楷體" w:cs="細明體" w:hint="eastAsia"/>
                <w:sz w:val="24"/>
                <w:szCs w:val="24"/>
              </w:rPr>
              <w:t>指數股票型期貨信託基金之標的指數成分，其國外期貨契約交易市場休市時，當日市場行情揭示排除前述次數之計算。</w:t>
            </w:r>
          </w:p>
          <w:p w14:paraId="2C3F37A6" w14:textId="4AA8DFB1" w:rsidR="007950CF" w:rsidRPr="007950CF" w:rsidRDefault="007950CF" w:rsidP="007950CF">
            <w:pPr>
              <w:widowControl/>
              <w:tabs>
                <w:tab w:val="left" w:pos="678"/>
              </w:tabs>
              <w:spacing w:line="280" w:lineRule="atLeast"/>
              <w:ind w:leftChars="100" w:left="692" w:hangingChars="205" w:hanging="492"/>
              <w:jc w:val="both"/>
              <w:rPr>
                <w:rFonts w:ascii="標楷體" w:eastAsia="標楷體" w:hAnsi="標楷體" w:cs="細明體"/>
                <w:sz w:val="24"/>
                <w:szCs w:val="24"/>
              </w:rPr>
            </w:pPr>
            <w:r w:rsidRPr="007950CF">
              <w:rPr>
                <w:rFonts w:ascii="標楷體" w:eastAsia="標楷體" w:hAnsi="標楷體" w:cs="細明體" w:hint="eastAsia"/>
                <w:sz w:val="24"/>
                <w:szCs w:val="24"/>
              </w:rPr>
              <w:t>六、</w:t>
            </w:r>
            <w:r w:rsidRPr="007950CF">
              <w:rPr>
                <w:rFonts w:ascii="標楷體" w:eastAsia="標楷體" w:hAnsi="標楷體" w:cs="細明體"/>
                <w:sz w:val="24"/>
                <w:szCs w:val="24"/>
              </w:rPr>
              <w:tab/>
            </w:r>
            <w:r w:rsidRPr="007950CF">
              <w:rPr>
                <w:rFonts w:ascii="標楷體" w:eastAsia="標楷體" w:hAnsi="標楷體" w:cs="細明體" w:hint="eastAsia"/>
                <w:sz w:val="24"/>
                <w:szCs w:val="24"/>
              </w:rPr>
              <w:t>槓桿反向指數股票型證券投資信託基金之標的指數成分證券，其國外有價證券流通市場休市時，該槓桿反向指數股票型證券投資信託基金受益憑證當日市場行情揭示排除前述次數之計算。</w:t>
            </w:r>
          </w:p>
        </w:tc>
        <w:tc>
          <w:tcPr>
            <w:tcW w:w="3210" w:type="dxa"/>
          </w:tcPr>
          <w:p w14:paraId="06FFAC85" w14:textId="77777777" w:rsidR="007950CF" w:rsidRPr="007950CF" w:rsidRDefault="007950CF" w:rsidP="00DF4D7F">
            <w:pPr>
              <w:widowControl/>
              <w:tabs>
                <w:tab w:val="left" w:pos="485"/>
              </w:tabs>
              <w:ind w:left="480" w:hangingChars="200" w:hanging="480"/>
              <w:jc w:val="both"/>
              <w:rPr>
                <w:rFonts w:ascii="標楷體" w:eastAsia="標楷體" w:hAnsi="標楷體" w:cs="細明體"/>
                <w:sz w:val="24"/>
                <w:szCs w:val="24"/>
              </w:rPr>
            </w:pPr>
            <w:r w:rsidRPr="007950CF">
              <w:rPr>
                <w:rFonts w:ascii="標楷體" w:eastAsia="標楷體" w:hAnsi="標楷體" w:cs="細明體" w:hint="eastAsia"/>
                <w:sz w:val="24"/>
                <w:szCs w:val="24"/>
              </w:rPr>
              <w:lastRenderedPageBreak/>
              <w:t>陸之一、指數股票型基金受益憑證如連續三個月有以下市場行情揭示情事，本中心將通知發行指數股票型基金受益憑證之投信事業</w:t>
            </w:r>
            <w:proofErr w:type="gramStart"/>
            <w:r w:rsidRPr="007950CF">
              <w:rPr>
                <w:rFonts w:ascii="標楷體" w:eastAsia="標楷體" w:hAnsi="標楷體" w:cs="細明體" w:hint="eastAsia"/>
                <w:sz w:val="24"/>
                <w:szCs w:val="24"/>
              </w:rPr>
              <w:t>或期信事業</w:t>
            </w:r>
            <w:proofErr w:type="gramEnd"/>
            <w:r w:rsidRPr="007950CF">
              <w:rPr>
                <w:rFonts w:ascii="標楷體" w:eastAsia="標楷體" w:hAnsi="標楷體" w:cs="細明體" w:hint="eastAsia"/>
                <w:sz w:val="24"/>
                <w:szCs w:val="24"/>
              </w:rPr>
              <w:t>於通知後次月起二個月內改善；未於期限內改善者，本中心將發函警告；自次月起二個月內仍未改善，視為違反指數股票型基金受益憑證櫃檯買賣契約，本中心對該投信事業</w:t>
            </w:r>
            <w:proofErr w:type="gramStart"/>
            <w:r w:rsidRPr="007950CF">
              <w:rPr>
                <w:rFonts w:ascii="標楷體" w:eastAsia="標楷體" w:hAnsi="標楷體" w:cs="細明體" w:hint="eastAsia"/>
                <w:sz w:val="24"/>
                <w:szCs w:val="24"/>
              </w:rPr>
              <w:t>或期信事業</w:t>
            </w:r>
            <w:proofErr w:type="gramEnd"/>
            <w:r w:rsidRPr="007950CF">
              <w:rPr>
                <w:rFonts w:ascii="標楷體" w:eastAsia="標楷體" w:hAnsi="標楷體" w:cs="細明體" w:hint="eastAsia"/>
                <w:sz w:val="24"/>
                <w:szCs w:val="24"/>
              </w:rPr>
              <w:t>課以新臺幣</w:t>
            </w:r>
            <w:proofErr w:type="gramStart"/>
            <w:r w:rsidRPr="007950CF">
              <w:rPr>
                <w:rFonts w:ascii="標楷體" w:eastAsia="標楷體" w:hAnsi="標楷體" w:cs="細明體" w:hint="eastAsia"/>
                <w:sz w:val="24"/>
                <w:szCs w:val="24"/>
              </w:rPr>
              <w:t>三</w:t>
            </w:r>
            <w:proofErr w:type="gramEnd"/>
            <w:r w:rsidRPr="007950CF">
              <w:rPr>
                <w:rFonts w:ascii="標楷體" w:eastAsia="標楷體" w:hAnsi="標楷體" w:cs="細明體" w:hint="eastAsia"/>
                <w:sz w:val="24"/>
                <w:szCs w:val="24"/>
              </w:rPr>
              <w:t>萬元之違約金，且每三</w:t>
            </w:r>
            <w:proofErr w:type="gramStart"/>
            <w:r w:rsidRPr="007950CF">
              <w:rPr>
                <w:rFonts w:ascii="標楷體" w:eastAsia="標楷體" w:hAnsi="標楷體" w:cs="細明體" w:hint="eastAsia"/>
                <w:sz w:val="24"/>
                <w:szCs w:val="24"/>
              </w:rPr>
              <w:t>個</w:t>
            </w:r>
            <w:proofErr w:type="gramEnd"/>
            <w:r w:rsidRPr="007950CF">
              <w:rPr>
                <w:rFonts w:ascii="標楷體" w:eastAsia="標楷體" w:hAnsi="標楷體" w:cs="細明體" w:hint="eastAsia"/>
                <w:sz w:val="24"/>
                <w:szCs w:val="24"/>
              </w:rPr>
              <w:t>月查處一次並得連續處分至改善為止。</w:t>
            </w:r>
          </w:p>
          <w:p w14:paraId="198A249D" w14:textId="77777777" w:rsidR="007950CF" w:rsidRPr="007950CF" w:rsidRDefault="007950CF" w:rsidP="00DF4D7F">
            <w:pPr>
              <w:widowControl/>
              <w:spacing w:line="280" w:lineRule="atLeast"/>
              <w:ind w:leftChars="200" w:left="400" w:firstLineChars="200" w:firstLine="480"/>
              <w:jc w:val="both"/>
              <w:rPr>
                <w:rFonts w:ascii="標楷體" w:eastAsia="標楷體" w:hAnsi="標楷體" w:cs="細明體"/>
                <w:sz w:val="24"/>
                <w:szCs w:val="24"/>
              </w:rPr>
            </w:pPr>
            <w:r w:rsidRPr="007950CF">
              <w:rPr>
                <w:rFonts w:ascii="標楷體" w:eastAsia="標楷體" w:hAnsi="標楷體" w:cs="細明體" w:hint="eastAsia"/>
                <w:sz w:val="24"/>
                <w:szCs w:val="24"/>
              </w:rPr>
              <w:t>國內成分證券指數股票型證券投資信託基金受益憑證及槓桿反向指數股票型證券投資信託基金受益憑證之標的指數成分證券皆為國內股票者，其於開市</w:t>
            </w:r>
            <w:r w:rsidRPr="007950CF">
              <w:rPr>
                <w:rFonts w:ascii="標楷體" w:eastAsia="標楷體" w:hAnsi="標楷體" w:cs="細明體" w:hint="eastAsia"/>
                <w:color w:val="FF0000"/>
                <w:sz w:val="24"/>
                <w:szCs w:val="24"/>
                <w:u w:val="single"/>
              </w:rPr>
              <w:t>前三十分鐘</w:t>
            </w:r>
            <w:r w:rsidRPr="007950CF">
              <w:rPr>
                <w:rFonts w:ascii="標楷體" w:eastAsia="標楷體" w:hAnsi="標楷體" w:cs="細明體" w:hint="eastAsia"/>
                <w:sz w:val="24"/>
                <w:szCs w:val="24"/>
              </w:rPr>
              <w:t>至收市之市場行情揭示（含</w:t>
            </w:r>
            <w:r w:rsidRPr="00B0119F">
              <w:rPr>
                <w:rFonts w:ascii="標楷體" w:eastAsia="標楷體" w:hAnsi="標楷體" w:cs="細明體" w:hint="eastAsia"/>
                <w:color w:val="FF0000"/>
                <w:sz w:val="24"/>
                <w:szCs w:val="24"/>
                <w:u w:val="single"/>
              </w:rPr>
              <w:t>開市前及</w:t>
            </w:r>
            <w:r w:rsidRPr="00B0119F">
              <w:rPr>
                <w:rFonts w:ascii="標楷體" w:eastAsia="標楷體" w:hAnsi="標楷體" w:cs="細明體" w:hint="eastAsia"/>
                <w:sz w:val="24"/>
                <w:szCs w:val="24"/>
              </w:rPr>
              <w:t>收市前一段時間試算買賣揭示價格），每月</w:t>
            </w:r>
            <w:r w:rsidRPr="007950CF">
              <w:rPr>
                <w:rFonts w:ascii="標楷體" w:eastAsia="標楷體" w:hAnsi="標楷體" w:cs="細明體" w:hint="eastAsia"/>
                <w:sz w:val="24"/>
                <w:szCs w:val="24"/>
              </w:rPr>
              <w:t>分別不得有下列情事超過二次：</w:t>
            </w:r>
          </w:p>
          <w:p w14:paraId="63AB5AA6" w14:textId="77777777" w:rsidR="007950CF" w:rsidRPr="007950CF" w:rsidRDefault="007950CF" w:rsidP="007950CF">
            <w:pPr>
              <w:widowControl/>
              <w:tabs>
                <w:tab w:val="left" w:pos="678"/>
              </w:tabs>
              <w:spacing w:line="280" w:lineRule="atLeast"/>
              <w:ind w:leftChars="100" w:left="692" w:hangingChars="205" w:hanging="492"/>
              <w:jc w:val="both"/>
              <w:rPr>
                <w:rFonts w:ascii="標楷體" w:eastAsia="標楷體" w:hAnsi="標楷體" w:cs="細明體"/>
                <w:sz w:val="24"/>
                <w:szCs w:val="24"/>
              </w:rPr>
            </w:pPr>
            <w:r w:rsidRPr="007950CF">
              <w:rPr>
                <w:rFonts w:ascii="標楷體" w:eastAsia="標楷體" w:hAnsi="標楷體" w:cs="細明體" w:hint="eastAsia"/>
                <w:sz w:val="24"/>
                <w:szCs w:val="24"/>
              </w:rPr>
              <w:t>一、</w:t>
            </w:r>
            <w:r w:rsidRPr="007950CF">
              <w:rPr>
                <w:rFonts w:ascii="標楷體" w:eastAsia="標楷體" w:hAnsi="標楷體" w:cs="細明體"/>
                <w:sz w:val="24"/>
                <w:szCs w:val="24"/>
              </w:rPr>
              <w:tab/>
            </w:r>
            <w:r w:rsidRPr="007950CF">
              <w:rPr>
                <w:rFonts w:ascii="標楷體" w:eastAsia="標楷體" w:hAnsi="標楷體" w:cs="細明體" w:hint="eastAsia"/>
                <w:sz w:val="24"/>
                <w:szCs w:val="24"/>
              </w:rPr>
              <w:t>揭示價格除漲停買進或跌停賣出者外，市場行情揭示僅有買進或賣出揭示價格且持續逾三分鐘。</w:t>
            </w:r>
          </w:p>
          <w:p w14:paraId="3FC17450" w14:textId="77777777" w:rsidR="007950CF" w:rsidRPr="007950CF" w:rsidRDefault="007950CF" w:rsidP="007950CF">
            <w:pPr>
              <w:widowControl/>
              <w:tabs>
                <w:tab w:val="left" w:pos="678"/>
              </w:tabs>
              <w:spacing w:line="280" w:lineRule="atLeast"/>
              <w:ind w:leftChars="100" w:left="692" w:hangingChars="205" w:hanging="492"/>
              <w:jc w:val="both"/>
              <w:rPr>
                <w:rFonts w:ascii="標楷體" w:eastAsia="標楷體" w:hAnsi="標楷體" w:cs="細明體"/>
                <w:sz w:val="24"/>
                <w:szCs w:val="24"/>
              </w:rPr>
            </w:pPr>
            <w:r w:rsidRPr="007950CF">
              <w:rPr>
                <w:rFonts w:ascii="標楷體" w:eastAsia="標楷體" w:hAnsi="標楷體" w:cs="細明體" w:hint="eastAsia"/>
                <w:sz w:val="24"/>
                <w:szCs w:val="24"/>
              </w:rPr>
              <w:t>二、</w:t>
            </w:r>
            <w:r w:rsidRPr="007950CF">
              <w:rPr>
                <w:rFonts w:ascii="標楷體" w:eastAsia="標楷體" w:hAnsi="標楷體" w:cs="細明體"/>
                <w:sz w:val="24"/>
                <w:szCs w:val="24"/>
              </w:rPr>
              <w:tab/>
            </w:r>
            <w:r w:rsidRPr="007950CF">
              <w:rPr>
                <w:rFonts w:ascii="標楷體" w:eastAsia="標楷體" w:hAnsi="標楷體" w:cs="細明體" w:hint="eastAsia"/>
                <w:sz w:val="24"/>
                <w:szCs w:val="24"/>
              </w:rPr>
              <w:t>最佳一檔買賣價差大於百分之一且持續逾十分鐘。</w:t>
            </w:r>
          </w:p>
          <w:p w14:paraId="7B97EB03" w14:textId="77777777" w:rsidR="007950CF" w:rsidRPr="007950CF" w:rsidRDefault="007950CF" w:rsidP="007950CF">
            <w:pPr>
              <w:widowControl/>
              <w:tabs>
                <w:tab w:val="left" w:pos="678"/>
              </w:tabs>
              <w:spacing w:line="280" w:lineRule="atLeast"/>
              <w:ind w:leftChars="100" w:left="692" w:hangingChars="205" w:hanging="492"/>
              <w:jc w:val="both"/>
              <w:rPr>
                <w:rFonts w:ascii="標楷體" w:eastAsia="標楷體" w:hAnsi="標楷體" w:cs="細明體"/>
                <w:sz w:val="24"/>
                <w:szCs w:val="24"/>
              </w:rPr>
            </w:pPr>
            <w:r w:rsidRPr="007950CF">
              <w:rPr>
                <w:rFonts w:ascii="標楷體" w:eastAsia="標楷體" w:hAnsi="標楷體" w:cs="細明體" w:hint="eastAsia"/>
                <w:sz w:val="24"/>
                <w:szCs w:val="24"/>
              </w:rPr>
              <w:t>三、</w:t>
            </w:r>
            <w:r w:rsidRPr="007950CF">
              <w:rPr>
                <w:rFonts w:ascii="標楷體" w:eastAsia="標楷體" w:hAnsi="標楷體" w:cs="細明體"/>
                <w:sz w:val="24"/>
                <w:szCs w:val="24"/>
              </w:rPr>
              <w:tab/>
            </w:r>
            <w:r w:rsidRPr="007950CF">
              <w:rPr>
                <w:rFonts w:ascii="標楷體" w:eastAsia="標楷體" w:hAnsi="標楷體" w:cs="細明體" w:hint="eastAsia"/>
                <w:sz w:val="24"/>
                <w:szCs w:val="24"/>
              </w:rPr>
              <w:t>遇有本中心業務規則第三十五條第四項及第三十五條之十一情事，須</w:t>
            </w:r>
            <w:r w:rsidRPr="007950CF">
              <w:rPr>
                <w:rFonts w:ascii="標楷體" w:eastAsia="標楷體" w:hAnsi="標楷體" w:cs="細明體" w:hint="eastAsia"/>
                <w:sz w:val="24"/>
                <w:szCs w:val="24"/>
              </w:rPr>
              <w:lastRenderedPageBreak/>
              <w:t>延緩撮合時間時，得排除前述時間之計算。</w:t>
            </w:r>
          </w:p>
          <w:p w14:paraId="0E1FDD03" w14:textId="77777777" w:rsidR="007950CF" w:rsidRPr="007950CF" w:rsidRDefault="007950CF" w:rsidP="00DF4D7F">
            <w:pPr>
              <w:widowControl/>
              <w:spacing w:line="280" w:lineRule="atLeast"/>
              <w:ind w:leftChars="200" w:left="400" w:firstLineChars="200" w:firstLine="480"/>
              <w:jc w:val="both"/>
              <w:rPr>
                <w:rFonts w:ascii="標楷體" w:eastAsia="標楷體" w:hAnsi="標楷體" w:cs="細明體"/>
                <w:sz w:val="24"/>
                <w:szCs w:val="24"/>
              </w:rPr>
            </w:pPr>
            <w:r w:rsidRPr="007950CF">
              <w:rPr>
                <w:rFonts w:ascii="標楷體" w:eastAsia="標楷體" w:hAnsi="標楷體" w:cs="細明體" w:hint="eastAsia"/>
                <w:sz w:val="24"/>
                <w:szCs w:val="24"/>
              </w:rPr>
              <w:t>國外成分證券指數股票型證券投資信託基金受益憑證、指數股票型期貨信託基金受益憑證、標的指數成分證券含一種以上國外有價證券之槓桿反向指數股票型證券投資信託基金受益憑證、國內債券成分指數股票型證券投資信託基金受益憑證及</w:t>
            </w:r>
            <w:r w:rsidRPr="007950CF">
              <w:rPr>
                <w:rFonts w:ascii="標楷體" w:eastAsia="標楷體" w:hAnsi="標楷體" w:cs="新細明體" w:hint="eastAsia"/>
                <w:sz w:val="24"/>
                <w:szCs w:val="24"/>
              </w:rPr>
              <w:t>國內債券成分之槓桿反向</w:t>
            </w:r>
            <w:r w:rsidRPr="007950CF">
              <w:rPr>
                <w:rFonts w:ascii="標楷體" w:eastAsia="標楷體" w:hAnsi="標楷體" w:cs="細明體" w:hint="eastAsia"/>
                <w:sz w:val="24"/>
                <w:szCs w:val="24"/>
              </w:rPr>
              <w:t>指數股票型證券投資信託基金受益憑證，其於開市</w:t>
            </w:r>
            <w:r w:rsidRPr="007950CF">
              <w:rPr>
                <w:rFonts w:ascii="標楷體" w:eastAsia="標楷體" w:hAnsi="標楷體" w:cs="細明體" w:hint="eastAsia"/>
                <w:color w:val="FF0000"/>
                <w:sz w:val="24"/>
                <w:szCs w:val="24"/>
                <w:u w:val="single"/>
              </w:rPr>
              <w:t>前三十分鐘</w:t>
            </w:r>
            <w:r w:rsidRPr="007950CF">
              <w:rPr>
                <w:rFonts w:ascii="標楷體" w:eastAsia="標楷體" w:hAnsi="標楷體" w:cs="細明體" w:hint="eastAsia"/>
                <w:sz w:val="24"/>
                <w:szCs w:val="24"/>
              </w:rPr>
              <w:t>至收市之市場行情揭示（含</w:t>
            </w:r>
            <w:r w:rsidRPr="00B0119F">
              <w:rPr>
                <w:rFonts w:ascii="標楷體" w:eastAsia="標楷體" w:hAnsi="標楷體" w:cs="細明體" w:hint="eastAsia"/>
                <w:color w:val="FF0000"/>
                <w:sz w:val="24"/>
                <w:szCs w:val="24"/>
                <w:u w:val="single"/>
              </w:rPr>
              <w:t>開市前及</w:t>
            </w:r>
            <w:r w:rsidRPr="007950CF">
              <w:rPr>
                <w:rFonts w:ascii="標楷體" w:eastAsia="標楷體" w:hAnsi="標楷體" w:cs="細明體" w:hint="eastAsia"/>
                <w:sz w:val="24"/>
                <w:szCs w:val="24"/>
              </w:rPr>
              <w:t>收市前一段時間試算買賣揭示價格）每月合計不得有下列情事超過六次：</w:t>
            </w:r>
          </w:p>
          <w:p w14:paraId="776E6692" w14:textId="77777777" w:rsidR="007950CF" w:rsidRPr="007950CF" w:rsidRDefault="007950CF" w:rsidP="007950CF">
            <w:pPr>
              <w:widowControl/>
              <w:tabs>
                <w:tab w:val="left" w:pos="678"/>
              </w:tabs>
              <w:spacing w:line="280" w:lineRule="atLeast"/>
              <w:ind w:leftChars="100" w:left="692" w:hangingChars="205" w:hanging="492"/>
              <w:jc w:val="both"/>
              <w:rPr>
                <w:rFonts w:ascii="標楷體" w:eastAsia="標楷體" w:hAnsi="標楷體" w:cs="細明體"/>
                <w:sz w:val="24"/>
                <w:szCs w:val="24"/>
              </w:rPr>
            </w:pPr>
            <w:r w:rsidRPr="007950CF">
              <w:rPr>
                <w:rFonts w:ascii="標楷體" w:eastAsia="標楷體" w:hAnsi="標楷體" w:cs="細明體" w:hint="eastAsia"/>
                <w:sz w:val="24"/>
                <w:szCs w:val="24"/>
              </w:rPr>
              <w:t>一、</w:t>
            </w:r>
            <w:r w:rsidRPr="007950CF">
              <w:rPr>
                <w:rFonts w:ascii="標楷體" w:eastAsia="標楷體" w:hAnsi="標楷體" w:cs="細明體"/>
                <w:sz w:val="24"/>
                <w:szCs w:val="24"/>
              </w:rPr>
              <w:tab/>
            </w:r>
            <w:r w:rsidRPr="007950CF">
              <w:rPr>
                <w:rFonts w:ascii="標楷體" w:eastAsia="標楷體" w:hAnsi="標楷體" w:cs="細明體" w:hint="eastAsia"/>
                <w:sz w:val="24"/>
                <w:szCs w:val="24"/>
              </w:rPr>
              <w:t>揭示價格除漲停買進或跌停賣出者外，市場行情揭示僅有買進或賣出揭示價格且持續逾十分鐘。</w:t>
            </w:r>
          </w:p>
          <w:p w14:paraId="6161EEDD" w14:textId="77777777" w:rsidR="007950CF" w:rsidRPr="007950CF" w:rsidRDefault="007950CF" w:rsidP="007950CF">
            <w:pPr>
              <w:widowControl/>
              <w:tabs>
                <w:tab w:val="left" w:pos="678"/>
              </w:tabs>
              <w:spacing w:line="280" w:lineRule="atLeast"/>
              <w:ind w:leftChars="100" w:left="692" w:hangingChars="205" w:hanging="492"/>
              <w:jc w:val="both"/>
              <w:rPr>
                <w:rFonts w:ascii="標楷體" w:eastAsia="標楷體" w:hAnsi="標楷體" w:cs="細明體"/>
                <w:sz w:val="24"/>
                <w:szCs w:val="24"/>
              </w:rPr>
            </w:pPr>
            <w:r w:rsidRPr="007950CF">
              <w:rPr>
                <w:rFonts w:ascii="標楷體" w:eastAsia="標楷體" w:hAnsi="標楷體" w:cs="細明體" w:hint="eastAsia"/>
                <w:sz w:val="24"/>
                <w:szCs w:val="24"/>
              </w:rPr>
              <w:t>二、</w:t>
            </w:r>
            <w:r w:rsidRPr="007950CF">
              <w:rPr>
                <w:rFonts w:ascii="標楷體" w:eastAsia="標楷體" w:hAnsi="標楷體" w:cs="細明體"/>
                <w:sz w:val="24"/>
                <w:szCs w:val="24"/>
              </w:rPr>
              <w:tab/>
            </w:r>
            <w:r w:rsidRPr="007950CF">
              <w:rPr>
                <w:rFonts w:ascii="標楷體" w:eastAsia="標楷體" w:hAnsi="標楷體" w:cs="細明體" w:hint="eastAsia"/>
                <w:sz w:val="24"/>
                <w:szCs w:val="24"/>
              </w:rPr>
              <w:t>最佳一檔買賣價差大於百分之三且持續逾十分鐘。</w:t>
            </w:r>
          </w:p>
          <w:p w14:paraId="05158FFF" w14:textId="77777777" w:rsidR="007950CF" w:rsidRPr="007950CF" w:rsidRDefault="007950CF" w:rsidP="007950CF">
            <w:pPr>
              <w:widowControl/>
              <w:tabs>
                <w:tab w:val="left" w:pos="678"/>
              </w:tabs>
              <w:spacing w:line="280" w:lineRule="atLeast"/>
              <w:ind w:leftChars="100" w:left="692" w:hangingChars="205" w:hanging="492"/>
              <w:jc w:val="both"/>
              <w:rPr>
                <w:rFonts w:ascii="標楷體" w:eastAsia="標楷體" w:hAnsi="標楷體" w:cs="細明體"/>
                <w:sz w:val="24"/>
                <w:szCs w:val="24"/>
              </w:rPr>
            </w:pPr>
            <w:r w:rsidRPr="007950CF">
              <w:rPr>
                <w:rFonts w:ascii="標楷體" w:eastAsia="標楷體" w:hAnsi="標楷體" w:cs="細明體" w:hint="eastAsia"/>
                <w:sz w:val="24"/>
                <w:szCs w:val="24"/>
              </w:rPr>
              <w:t>三、</w:t>
            </w:r>
            <w:r w:rsidRPr="007950CF">
              <w:rPr>
                <w:rFonts w:ascii="標楷體" w:eastAsia="標楷體" w:hAnsi="標楷體" w:cs="細明體"/>
                <w:sz w:val="24"/>
                <w:szCs w:val="24"/>
              </w:rPr>
              <w:tab/>
            </w:r>
            <w:r w:rsidRPr="007950CF">
              <w:rPr>
                <w:rFonts w:ascii="標楷體" w:eastAsia="標楷體" w:hAnsi="標楷體" w:cs="細明體" w:hint="eastAsia"/>
                <w:sz w:val="24"/>
                <w:szCs w:val="24"/>
              </w:rPr>
              <w:t>遇有本中心業務規則第三十五條第四項及第三十五條之十一情事，須延緩撮合時間，得排除前述次數之計算。</w:t>
            </w:r>
          </w:p>
          <w:p w14:paraId="2741D8D8" w14:textId="77777777" w:rsidR="007950CF" w:rsidRPr="007950CF" w:rsidRDefault="007950CF" w:rsidP="007950CF">
            <w:pPr>
              <w:widowControl/>
              <w:tabs>
                <w:tab w:val="left" w:pos="678"/>
              </w:tabs>
              <w:spacing w:line="280" w:lineRule="atLeast"/>
              <w:ind w:leftChars="100" w:left="692" w:hangingChars="205" w:hanging="492"/>
              <w:jc w:val="both"/>
              <w:rPr>
                <w:rFonts w:ascii="標楷體" w:eastAsia="標楷體" w:hAnsi="標楷體" w:cs="細明體"/>
                <w:sz w:val="24"/>
                <w:szCs w:val="24"/>
              </w:rPr>
            </w:pPr>
            <w:r w:rsidRPr="007950CF">
              <w:rPr>
                <w:rFonts w:ascii="標楷體" w:eastAsia="標楷體" w:hAnsi="標楷體" w:cs="細明體" w:hint="eastAsia"/>
                <w:sz w:val="24"/>
                <w:szCs w:val="24"/>
              </w:rPr>
              <w:t>四、</w:t>
            </w:r>
            <w:r w:rsidRPr="007950CF">
              <w:rPr>
                <w:rFonts w:ascii="標楷體" w:eastAsia="標楷體" w:hAnsi="標楷體" w:cs="細明體"/>
                <w:sz w:val="24"/>
                <w:szCs w:val="24"/>
              </w:rPr>
              <w:tab/>
            </w:r>
            <w:r w:rsidRPr="007950CF">
              <w:rPr>
                <w:rFonts w:ascii="標楷體" w:eastAsia="標楷體" w:hAnsi="標楷體" w:cs="細明體" w:hint="eastAsia"/>
                <w:sz w:val="24"/>
                <w:szCs w:val="24"/>
              </w:rPr>
              <w:t>國外成分股及債券成分指數股票型證券投資信託基金之標的指數成分證券，其國外有價證券流通市場休市時，該國外成分股及債券成分指</w:t>
            </w:r>
            <w:r w:rsidRPr="007950CF">
              <w:rPr>
                <w:rFonts w:ascii="標楷體" w:eastAsia="標楷體" w:hAnsi="標楷體" w:cs="細明體" w:hint="eastAsia"/>
                <w:sz w:val="24"/>
                <w:szCs w:val="24"/>
              </w:rPr>
              <w:lastRenderedPageBreak/>
              <w:t>數股票型證券投資信託基金受益憑證當日市場行情揭示排除前述次數之計算。</w:t>
            </w:r>
          </w:p>
          <w:p w14:paraId="24289A95" w14:textId="77777777" w:rsidR="007950CF" w:rsidRPr="007950CF" w:rsidRDefault="007950CF" w:rsidP="007950CF">
            <w:pPr>
              <w:widowControl/>
              <w:tabs>
                <w:tab w:val="left" w:pos="678"/>
              </w:tabs>
              <w:spacing w:line="280" w:lineRule="atLeast"/>
              <w:ind w:leftChars="100" w:left="692" w:hangingChars="205" w:hanging="492"/>
              <w:jc w:val="both"/>
              <w:rPr>
                <w:rFonts w:ascii="標楷體" w:eastAsia="標楷體" w:hAnsi="標楷體" w:cs="細明體"/>
                <w:sz w:val="24"/>
                <w:szCs w:val="24"/>
              </w:rPr>
            </w:pPr>
            <w:r w:rsidRPr="007950CF">
              <w:rPr>
                <w:rFonts w:ascii="標楷體" w:eastAsia="標楷體" w:hAnsi="標楷體" w:cs="細明體" w:hint="eastAsia"/>
                <w:sz w:val="24"/>
                <w:szCs w:val="24"/>
              </w:rPr>
              <w:t>五、</w:t>
            </w:r>
            <w:r w:rsidRPr="007950CF">
              <w:rPr>
                <w:rFonts w:ascii="標楷體" w:eastAsia="標楷體" w:hAnsi="標楷體" w:cs="細明體"/>
                <w:sz w:val="24"/>
                <w:szCs w:val="24"/>
              </w:rPr>
              <w:tab/>
            </w:r>
            <w:r w:rsidRPr="007950CF">
              <w:rPr>
                <w:rFonts w:ascii="標楷體" w:eastAsia="標楷體" w:hAnsi="標楷體" w:cs="細明體" w:hint="eastAsia"/>
                <w:sz w:val="24"/>
                <w:szCs w:val="24"/>
              </w:rPr>
              <w:t>指數股票型期貨信託基金之標的指數成分，其國外期貨契約交易市場休市時，當日市場行情揭示排除前述次數之計算。</w:t>
            </w:r>
          </w:p>
          <w:p w14:paraId="035DC048" w14:textId="44BEFDE0" w:rsidR="007950CF" w:rsidRPr="007950CF" w:rsidRDefault="007950CF" w:rsidP="007950CF">
            <w:pPr>
              <w:widowControl/>
              <w:tabs>
                <w:tab w:val="left" w:pos="678"/>
              </w:tabs>
              <w:spacing w:line="280" w:lineRule="atLeast"/>
              <w:ind w:leftChars="100" w:left="692" w:hangingChars="205" w:hanging="492"/>
              <w:jc w:val="both"/>
              <w:rPr>
                <w:rFonts w:ascii="標楷體" w:eastAsia="標楷體" w:hAnsi="標楷體" w:cs="細明體"/>
                <w:sz w:val="24"/>
                <w:szCs w:val="24"/>
              </w:rPr>
            </w:pPr>
            <w:r w:rsidRPr="007950CF">
              <w:rPr>
                <w:rFonts w:ascii="標楷體" w:eastAsia="標楷體" w:hAnsi="標楷體" w:cs="細明體" w:hint="eastAsia"/>
                <w:sz w:val="24"/>
                <w:szCs w:val="24"/>
              </w:rPr>
              <w:t>六、</w:t>
            </w:r>
            <w:r w:rsidRPr="007950CF">
              <w:rPr>
                <w:rFonts w:ascii="標楷體" w:eastAsia="標楷體" w:hAnsi="標楷體" w:cs="細明體"/>
                <w:sz w:val="24"/>
                <w:szCs w:val="24"/>
              </w:rPr>
              <w:tab/>
            </w:r>
            <w:r w:rsidRPr="007950CF">
              <w:rPr>
                <w:rFonts w:ascii="標楷體" w:eastAsia="標楷體" w:hAnsi="標楷體" w:cs="細明體" w:hint="eastAsia"/>
                <w:sz w:val="24"/>
                <w:szCs w:val="24"/>
              </w:rPr>
              <w:t>槓桿反向指數股票型證券投資信託基金之標的指數成分證券，其國外有價證券流通市場休市時，該槓桿反向指數股票型證券投資信託基金受益憑證當日市場行情揭示排除前述次數之計算。</w:t>
            </w:r>
          </w:p>
        </w:tc>
        <w:tc>
          <w:tcPr>
            <w:tcW w:w="3211" w:type="dxa"/>
          </w:tcPr>
          <w:p w14:paraId="207FF3AD" w14:textId="07DCB56D" w:rsidR="007950CF" w:rsidRPr="007950CF" w:rsidRDefault="007950CF" w:rsidP="00CB467A">
            <w:pPr>
              <w:tabs>
                <w:tab w:val="left" w:pos="497"/>
              </w:tabs>
              <w:jc w:val="both"/>
              <w:rPr>
                <w:rFonts w:eastAsia="標楷體"/>
                <w:color w:val="000000"/>
                <w:sz w:val="24"/>
                <w:szCs w:val="24"/>
              </w:rPr>
            </w:pPr>
            <w:r w:rsidRPr="007950CF">
              <w:rPr>
                <w:rFonts w:eastAsia="標楷體" w:hint="eastAsia"/>
                <w:color w:val="000000"/>
                <w:sz w:val="24"/>
                <w:szCs w:val="24"/>
              </w:rPr>
              <w:lastRenderedPageBreak/>
              <w:t>現行開市前</w:t>
            </w:r>
            <w:r w:rsidRPr="007950CF">
              <w:rPr>
                <w:rFonts w:eastAsia="標楷體" w:hint="eastAsia"/>
                <w:color w:val="000000"/>
                <w:sz w:val="24"/>
                <w:szCs w:val="24"/>
              </w:rPr>
              <w:t>30</w:t>
            </w:r>
            <w:r w:rsidRPr="007950CF">
              <w:rPr>
                <w:rFonts w:eastAsia="標楷體" w:hint="eastAsia"/>
                <w:color w:val="000000"/>
                <w:sz w:val="24"/>
                <w:szCs w:val="24"/>
              </w:rPr>
              <w:t>分鐘</w:t>
            </w:r>
            <w:r w:rsidRPr="007950CF">
              <w:rPr>
                <w:rFonts w:eastAsia="標楷體" w:hint="eastAsia"/>
                <w:color w:val="000000"/>
                <w:sz w:val="24"/>
                <w:szCs w:val="24"/>
              </w:rPr>
              <w:t>(</w:t>
            </w:r>
            <w:r w:rsidRPr="007950CF">
              <w:rPr>
                <w:rFonts w:eastAsia="標楷體" w:hint="eastAsia"/>
                <w:color w:val="000000"/>
                <w:sz w:val="24"/>
                <w:szCs w:val="24"/>
              </w:rPr>
              <w:t>上午</w:t>
            </w:r>
            <w:r w:rsidRPr="007950CF">
              <w:rPr>
                <w:rFonts w:eastAsia="標楷體" w:hint="eastAsia"/>
                <w:color w:val="000000"/>
                <w:sz w:val="24"/>
                <w:szCs w:val="24"/>
              </w:rPr>
              <w:t>8</w:t>
            </w:r>
            <w:r w:rsidRPr="007950CF">
              <w:rPr>
                <w:rFonts w:eastAsia="標楷體" w:hint="eastAsia"/>
                <w:color w:val="000000"/>
                <w:sz w:val="24"/>
                <w:szCs w:val="24"/>
              </w:rPr>
              <w:t>時</w:t>
            </w:r>
            <w:r w:rsidRPr="007950CF">
              <w:rPr>
                <w:rFonts w:eastAsia="標楷體" w:hint="eastAsia"/>
                <w:color w:val="000000"/>
                <w:sz w:val="24"/>
                <w:szCs w:val="24"/>
              </w:rPr>
              <w:t>30</w:t>
            </w:r>
            <w:r w:rsidRPr="007950CF">
              <w:rPr>
                <w:rFonts w:eastAsia="標楷體" w:hint="eastAsia"/>
                <w:color w:val="000000"/>
                <w:sz w:val="24"/>
                <w:szCs w:val="24"/>
              </w:rPr>
              <w:t>分至</w:t>
            </w:r>
            <w:r w:rsidRPr="007950CF">
              <w:rPr>
                <w:rFonts w:eastAsia="標楷體" w:hint="eastAsia"/>
                <w:color w:val="000000"/>
                <w:sz w:val="24"/>
                <w:szCs w:val="24"/>
              </w:rPr>
              <w:t>9</w:t>
            </w:r>
            <w:r w:rsidRPr="007950CF">
              <w:rPr>
                <w:rFonts w:eastAsia="標楷體" w:hint="eastAsia"/>
                <w:color w:val="000000"/>
                <w:sz w:val="24"/>
                <w:szCs w:val="24"/>
              </w:rPr>
              <w:t>時</w:t>
            </w:r>
            <w:r w:rsidRPr="007950CF">
              <w:rPr>
                <w:rFonts w:eastAsia="標楷體" w:hint="eastAsia"/>
                <w:color w:val="000000"/>
                <w:sz w:val="24"/>
                <w:szCs w:val="24"/>
              </w:rPr>
              <w:t>)</w:t>
            </w:r>
            <w:r w:rsidRPr="007950CF">
              <w:rPr>
                <w:rFonts w:eastAsia="標楷體" w:hint="eastAsia"/>
                <w:color w:val="000000"/>
                <w:sz w:val="24"/>
                <w:szCs w:val="24"/>
              </w:rPr>
              <w:t>揭示之模擬買賣價格資訊無實際成交，該段時間報價對</w:t>
            </w:r>
            <w:r w:rsidRPr="007950CF">
              <w:rPr>
                <w:rFonts w:eastAsia="標楷體" w:hint="eastAsia"/>
                <w:color w:val="000000"/>
                <w:sz w:val="24"/>
                <w:szCs w:val="24"/>
              </w:rPr>
              <w:t>ETF</w:t>
            </w:r>
            <w:r w:rsidRPr="007950CF">
              <w:rPr>
                <w:rFonts w:eastAsia="標楷體" w:hint="eastAsia"/>
                <w:color w:val="000000"/>
                <w:sz w:val="24"/>
                <w:szCs w:val="24"/>
              </w:rPr>
              <w:t>之流動性並無助益，</w:t>
            </w:r>
            <w:r w:rsidR="00C504FF" w:rsidRPr="00C504FF">
              <w:rPr>
                <w:rFonts w:eastAsia="標楷體" w:hint="eastAsia"/>
                <w:color w:val="000000"/>
                <w:sz w:val="24"/>
                <w:szCs w:val="24"/>
              </w:rPr>
              <w:t>參酌權證係在開盤後</w:t>
            </w:r>
            <w:r w:rsidR="00C504FF" w:rsidRPr="00C504FF">
              <w:rPr>
                <w:rFonts w:eastAsia="標楷體" w:hint="eastAsia"/>
                <w:color w:val="000000"/>
                <w:sz w:val="24"/>
                <w:szCs w:val="24"/>
              </w:rPr>
              <w:t>5</w:t>
            </w:r>
            <w:r w:rsidR="00C504FF" w:rsidRPr="00C504FF">
              <w:rPr>
                <w:rFonts w:eastAsia="標楷體" w:hint="eastAsia"/>
                <w:color w:val="000000"/>
                <w:sz w:val="24"/>
                <w:szCs w:val="24"/>
              </w:rPr>
              <w:t>分鐘始進行報價，且</w:t>
            </w:r>
            <w:r w:rsidRPr="007950CF">
              <w:rPr>
                <w:rFonts w:eastAsia="標楷體" w:hint="eastAsia"/>
                <w:color w:val="000000"/>
                <w:sz w:val="24"/>
                <w:szCs w:val="24"/>
              </w:rPr>
              <w:t>投資人於開盤前委託可參考基本市</w:t>
            </w:r>
            <w:proofErr w:type="gramStart"/>
            <w:r w:rsidRPr="007950CF">
              <w:rPr>
                <w:rFonts w:eastAsia="標楷體" w:hint="eastAsia"/>
                <w:color w:val="000000"/>
                <w:sz w:val="24"/>
                <w:szCs w:val="24"/>
              </w:rPr>
              <w:t>況</w:t>
            </w:r>
            <w:proofErr w:type="gramEnd"/>
            <w:r w:rsidRPr="007950CF">
              <w:rPr>
                <w:rFonts w:eastAsia="標楷體" w:hint="eastAsia"/>
                <w:color w:val="000000"/>
                <w:sz w:val="24"/>
                <w:szCs w:val="24"/>
              </w:rPr>
              <w:t>報導網站或發行人網站提供之</w:t>
            </w:r>
            <w:r w:rsidRPr="007950CF">
              <w:rPr>
                <w:rFonts w:eastAsia="標楷體" w:hint="eastAsia"/>
                <w:color w:val="000000"/>
                <w:sz w:val="24"/>
                <w:szCs w:val="24"/>
              </w:rPr>
              <w:t>ETF</w:t>
            </w:r>
            <w:r w:rsidRPr="007950CF">
              <w:rPr>
                <w:rFonts w:eastAsia="標楷體" w:hint="eastAsia"/>
                <w:color w:val="000000"/>
                <w:sz w:val="24"/>
                <w:szCs w:val="24"/>
              </w:rPr>
              <w:t>前一日淨值或即時預估淨值，</w:t>
            </w:r>
            <w:proofErr w:type="gramStart"/>
            <w:r w:rsidRPr="007950CF">
              <w:rPr>
                <w:rFonts w:eastAsia="標楷體" w:hint="eastAsia"/>
                <w:color w:val="000000"/>
                <w:sz w:val="24"/>
                <w:szCs w:val="24"/>
              </w:rPr>
              <w:t>爰</w:t>
            </w:r>
            <w:proofErr w:type="gramEnd"/>
            <w:r w:rsidRPr="007950CF">
              <w:rPr>
                <w:rFonts w:eastAsia="標楷體" w:hint="eastAsia"/>
                <w:color w:val="000000"/>
                <w:sz w:val="24"/>
                <w:szCs w:val="24"/>
              </w:rPr>
              <w:t>修正第</w:t>
            </w:r>
            <w:r w:rsidRPr="007950CF">
              <w:rPr>
                <w:rFonts w:eastAsia="標楷體" w:hint="eastAsia"/>
                <w:color w:val="000000"/>
                <w:sz w:val="24"/>
                <w:szCs w:val="24"/>
              </w:rPr>
              <w:t>2</w:t>
            </w:r>
            <w:r w:rsidRPr="007950CF">
              <w:rPr>
                <w:rFonts w:eastAsia="標楷體" w:hint="eastAsia"/>
                <w:color w:val="000000"/>
                <w:sz w:val="24"/>
                <w:szCs w:val="24"/>
              </w:rPr>
              <w:t>項及第</w:t>
            </w:r>
            <w:r w:rsidRPr="007950CF">
              <w:rPr>
                <w:rFonts w:eastAsia="標楷體" w:hint="eastAsia"/>
                <w:color w:val="000000"/>
                <w:sz w:val="24"/>
                <w:szCs w:val="24"/>
              </w:rPr>
              <w:t>3</w:t>
            </w:r>
            <w:r w:rsidRPr="007950CF">
              <w:rPr>
                <w:rFonts w:eastAsia="標楷體" w:hint="eastAsia"/>
                <w:color w:val="000000"/>
                <w:sz w:val="24"/>
                <w:szCs w:val="24"/>
              </w:rPr>
              <w:t>項之規定。</w:t>
            </w:r>
          </w:p>
        </w:tc>
      </w:tr>
    </w:tbl>
    <w:p w14:paraId="47521382" w14:textId="2431E385" w:rsidR="003F5D3D" w:rsidRPr="00C504FF" w:rsidRDefault="003F5D3D" w:rsidP="00177424">
      <w:pPr>
        <w:widowControl/>
        <w:rPr>
          <w:rFonts w:ascii="標楷體" w:eastAsia="標楷體" w:hAnsi="標楷體"/>
          <w:spacing w:val="2"/>
          <w:w w:val="59"/>
        </w:rPr>
      </w:pPr>
    </w:p>
    <w:sectPr w:rsidR="003F5D3D" w:rsidRPr="00C504FF" w:rsidSect="00C07BAE">
      <w:footerReference w:type="default" r:id="rId8"/>
      <w:pgSz w:w="11906" w:h="16838" w:code="9"/>
      <w:pgMar w:top="1134" w:right="1134" w:bottom="1134" w:left="1134"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A51D8" w14:textId="77777777" w:rsidR="00585326" w:rsidRDefault="00585326" w:rsidP="009A322E">
      <w:r>
        <w:separator/>
      </w:r>
    </w:p>
  </w:endnote>
  <w:endnote w:type="continuationSeparator" w:id="0">
    <w:p w14:paraId="337BD060" w14:textId="77777777" w:rsidR="00585326" w:rsidRDefault="00585326" w:rsidP="009A3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B1D79" w14:textId="77777777" w:rsidR="009955C1" w:rsidRDefault="009955C1" w:rsidP="00C96FC6">
    <w:pPr>
      <w:pStyle w:val="a5"/>
      <w:jc w:val="center"/>
    </w:pPr>
    <w:r>
      <w:fldChar w:fldCharType="begin"/>
    </w:r>
    <w:r>
      <w:instrText xml:space="preserve"> PAGE   \* MERGEFORMAT </w:instrText>
    </w:r>
    <w:r>
      <w:fldChar w:fldCharType="separate"/>
    </w:r>
    <w:r w:rsidR="007514E4" w:rsidRPr="007514E4">
      <w:rPr>
        <w:noProof/>
        <w:lang w:val="zh-TW"/>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28FB0" w14:textId="77777777" w:rsidR="00585326" w:rsidRDefault="00585326" w:rsidP="009A322E">
      <w:r>
        <w:separator/>
      </w:r>
    </w:p>
  </w:footnote>
  <w:footnote w:type="continuationSeparator" w:id="0">
    <w:p w14:paraId="48EB8B37" w14:textId="77777777" w:rsidR="00585326" w:rsidRDefault="00585326" w:rsidP="009A32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42F41"/>
    <w:multiLevelType w:val="hybridMultilevel"/>
    <w:tmpl w:val="4E00DCB0"/>
    <w:lvl w:ilvl="0" w:tplc="89AE48E0">
      <w:start w:val="1"/>
      <w:numFmt w:val="taiwaneseCountingThousand"/>
      <w:lvlText w:val="(%1)"/>
      <w:lvlJc w:val="left"/>
      <w:pPr>
        <w:ind w:left="715" w:hanging="432"/>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15:restartNumberingAfterBreak="0">
    <w:nsid w:val="0B2C47A9"/>
    <w:multiLevelType w:val="hybridMultilevel"/>
    <w:tmpl w:val="0AFCCC8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3A6BE1"/>
    <w:multiLevelType w:val="hybridMultilevel"/>
    <w:tmpl w:val="AFFCE10A"/>
    <w:lvl w:ilvl="0" w:tplc="1236FA3A">
      <w:start w:val="1"/>
      <w:numFmt w:val="taiwaneseCountingThousand"/>
      <w:lvlText w:val="(%1)"/>
      <w:lvlJc w:val="left"/>
      <w:pPr>
        <w:tabs>
          <w:tab w:val="num" w:pos="1021"/>
        </w:tabs>
        <w:ind w:left="1021" w:hanging="454"/>
      </w:pPr>
      <w:rPr>
        <w:rFonts w:eastAsia="標楷體" w:hint="eastAsia"/>
        <w:b w:val="0"/>
        <w:i w:val="0"/>
        <w:sz w:val="1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4CD2799"/>
    <w:multiLevelType w:val="hybridMultilevel"/>
    <w:tmpl w:val="F3140FF2"/>
    <w:lvl w:ilvl="0" w:tplc="FB2EC714">
      <w:start w:val="1"/>
      <w:numFmt w:val="taiwaneseCountingThousand"/>
      <w:lvlText w:val="%1、"/>
      <w:lvlJc w:val="left"/>
      <w:pPr>
        <w:ind w:left="750" w:hanging="51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15DB1D62"/>
    <w:multiLevelType w:val="hybridMultilevel"/>
    <w:tmpl w:val="3A485856"/>
    <w:lvl w:ilvl="0" w:tplc="420C5598">
      <w:start w:val="1"/>
      <w:numFmt w:val="taiwaneseCountingThousand"/>
      <w:lvlText w:val="%1、"/>
      <w:lvlJc w:val="left"/>
      <w:pPr>
        <w:ind w:left="480" w:hanging="480"/>
      </w:pPr>
      <w:rPr>
        <w:rFonts w:ascii="Book Antiqua"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6BB355C"/>
    <w:multiLevelType w:val="hybridMultilevel"/>
    <w:tmpl w:val="5CFC8D9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FB2493"/>
    <w:multiLevelType w:val="hybridMultilevel"/>
    <w:tmpl w:val="B0B0E772"/>
    <w:lvl w:ilvl="0" w:tplc="FBDE3CBA">
      <w:start w:val="1"/>
      <w:numFmt w:val="decimal"/>
      <w:lvlText w:val="%1."/>
      <w:lvlJc w:val="left"/>
      <w:pPr>
        <w:ind w:left="10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2875AEA"/>
    <w:multiLevelType w:val="hybridMultilevel"/>
    <w:tmpl w:val="E34462BA"/>
    <w:lvl w:ilvl="0" w:tplc="8000EE0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28EE78D8"/>
    <w:multiLevelType w:val="hybridMultilevel"/>
    <w:tmpl w:val="6E3A12CC"/>
    <w:lvl w:ilvl="0" w:tplc="33AE1942">
      <w:start w:val="1"/>
      <w:numFmt w:val="taiwaneseCountingThousand"/>
      <w:suff w:val="nothing"/>
      <w:lvlText w:val="%1、"/>
      <w:lvlJc w:val="left"/>
      <w:pPr>
        <w:ind w:left="482" w:hanging="482"/>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9F83B48"/>
    <w:multiLevelType w:val="hybridMultilevel"/>
    <w:tmpl w:val="13E82E5A"/>
    <w:lvl w:ilvl="0" w:tplc="083A1050">
      <w:start w:val="1"/>
      <w:numFmt w:val="decimal"/>
      <w:lvlText w:val="%1."/>
      <w:lvlJc w:val="left"/>
      <w:pPr>
        <w:ind w:left="1040" w:hanging="360"/>
      </w:pPr>
      <w:rPr>
        <w:rFonts w:hint="default"/>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10" w15:restartNumberingAfterBreak="0">
    <w:nsid w:val="2BE77349"/>
    <w:multiLevelType w:val="hybridMultilevel"/>
    <w:tmpl w:val="5F769008"/>
    <w:lvl w:ilvl="0" w:tplc="0ABE80EC">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2C590CED"/>
    <w:multiLevelType w:val="hybridMultilevel"/>
    <w:tmpl w:val="5B787CB0"/>
    <w:lvl w:ilvl="0" w:tplc="AE8CB0E2">
      <w:start w:val="1"/>
      <w:numFmt w:val="taiwaneseCountingThousand"/>
      <w:lvlText w:val="%1、"/>
      <w:lvlJc w:val="left"/>
      <w:pPr>
        <w:ind w:left="480" w:hanging="480"/>
      </w:pPr>
      <w:rPr>
        <w:rFonts w:ascii="Book Antiqua"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A8B04A4"/>
    <w:multiLevelType w:val="hybridMultilevel"/>
    <w:tmpl w:val="5D82B796"/>
    <w:lvl w:ilvl="0" w:tplc="A5B47F6E">
      <w:start w:val="1"/>
      <w:numFmt w:val="taiwaneseCountingThousand"/>
      <w:lvlText w:val="%1、"/>
      <w:lvlJc w:val="left"/>
      <w:pPr>
        <w:ind w:left="960" w:hanging="480"/>
      </w:pPr>
      <w:rPr>
        <w:rFonts w:hint="eastAsia"/>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50F64076"/>
    <w:multiLevelType w:val="hybridMultilevel"/>
    <w:tmpl w:val="6E02C1F4"/>
    <w:lvl w:ilvl="0" w:tplc="276A6C4E">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2C63D38"/>
    <w:multiLevelType w:val="hybridMultilevel"/>
    <w:tmpl w:val="D95077D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5E506E1"/>
    <w:multiLevelType w:val="hybridMultilevel"/>
    <w:tmpl w:val="0D5AA8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D4E47C4"/>
    <w:multiLevelType w:val="hybridMultilevel"/>
    <w:tmpl w:val="38581928"/>
    <w:lvl w:ilvl="0" w:tplc="88FE1B78">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5FDE1748"/>
    <w:multiLevelType w:val="hybridMultilevel"/>
    <w:tmpl w:val="2F180DE4"/>
    <w:lvl w:ilvl="0" w:tplc="838C14B2">
      <w:start w:val="1"/>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FFB678F"/>
    <w:multiLevelType w:val="hybridMultilevel"/>
    <w:tmpl w:val="35F0B73A"/>
    <w:lvl w:ilvl="0" w:tplc="2C565A54">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9" w15:restartNumberingAfterBreak="0">
    <w:nsid w:val="609C08FA"/>
    <w:multiLevelType w:val="hybridMultilevel"/>
    <w:tmpl w:val="3828C94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40B41A1"/>
    <w:multiLevelType w:val="hybridMultilevel"/>
    <w:tmpl w:val="8488E97A"/>
    <w:lvl w:ilvl="0" w:tplc="986ABEBA">
      <w:start w:val="1"/>
      <w:numFmt w:val="taiwaneseCountingThousand"/>
      <w:lvlText w:val="%1、"/>
      <w:lvlJc w:val="left"/>
      <w:pPr>
        <w:ind w:left="468" w:hanging="480"/>
      </w:pPr>
      <w:rPr>
        <w:rFonts w:hint="default"/>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21" w15:restartNumberingAfterBreak="0">
    <w:nsid w:val="64FA0BBE"/>
    <w:multiLevelType w:val="hybridMultilevel"/>
    <w:tmpl w:val="4BEE4528"/>
    <w:lvl w:ilvl="0" w:tplc="1DF0F71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D7D274C"/>
    <w:multiLevelType w:val="hybridMultilevel"/>
    <w:tmpl w:val="2F180DE4"/>
    <w:lvl w:ilvl="0" w:tplc="838C14B2">
      <w:start w:val="1"/>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DB93231"/>
    <w:multiLevelType w:val="hybridMultilevel"/>
    <w:tmpl w:val="CB1214DE"/>
    <w:lvl w:ilvl="0" w:tplc="FDAA1D8C">
      <w:start w:val="1"/>
      <w:numFmt w:val="taiwaneseCountingThousand"/>
      <w:suff w:val="nothing"/>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E840E4F"/>
    <w:multiLevelType w:val="hybridMultilevel"/>
    <w:tmpl w:val="4D82C9E2"/>
    <w:lvl w:ilvl="0" w:tplc="B796AAA2">
      <w:start w:val="1"/>
      <w:numFmt w:val="taiwaneseCountingThousand"/>
      <w:lvlText w:val="（%1）"/>
      <w:lvlJc w:val="left"/>
      <w:pPr>
        <w:tabs>
          <w:tab w:val="num" w:pos="1560"/>
        </w:tabs>
        <w:ind w:left="156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FEB6B34"/>
    <w:multiLevelType w:val="multilevel"/>
    <w:tmpl w:val="65060744"/>
    <w:lvl w:ilvl="0">
      <w:start w:val="1"/>
      <w:numFmt w:val="ideographLegalTraditional"/>
      <w:lvlText w:val="%1、"/>
      <w:lvlJc w:val="left"/>
      <w:pPr>
        <w:tabs>
          <w:tab w:val="num" w:pos="720"/>
        </w:tabs>
        <w:ind w:left="284" w:hanging="284"/>
      </w:pPr>
      <w:rPr>
        <w:rFonts w:ascii="標楷體" w:eastAsia="標楷體" w:hAnsi="標楷體" w:hint="eastAsia"/>
      </w:rPr>
    </w:lvl>
    <w:lvl w:ilvl="1">
      <w:start w:val="1"/>
      <w:numFmt w:val="taiwaneseCountingThousand"/>
      <w:lvlText w:val="%2、"/>
      <w:lvlJc w:val="left"/>
      <w:pPr>
        <w:tabs>
          <w:tab w:val="num" w:pos="1004"/>
        </w:tabs>
        <w:ind w:left="567" w:hanging="283"/>
      </w:pPr>
      <w:rPr>
        <w:rFonts w:hint="eastAsia"/>
      </w:rPr>
    </w:lvl>
    <w:lvl w:ilvl="2">
      <w:start w:val="1"/>
      <w:numFmt w:val="taiwaneseCountingThousand"/>
      <w:lvlText w:val="(%3)"/>
      <w:lvlJc w:val="left"/>
      <w:pPr>
        <w:tabs>
          <w:tab w:val="num" w:pos="1287"/>
        </w:tabs>
        <w:ind w:left="851" w:hanging="284"/>
      </w:pPr>
      <w:rPr>
        <w:rFonts w:hint="eastAsia"/>
      </w:rPr>
    </w:lvl>
    <w:lvl w:ilvl="3">
      <w:start w:val="1"/>
      <w:numFmt w:val="decimal"/>
      <w:lvlText w:val="%4、"/>
      <w:lvlJc w:val="left"/>
      <w:pPr>
        <w:tabs>
          <w:tab w:val="num" w:pos="1571"/>
        </w:tabs>
        <w:ind w:left="1134" w:hanging="283"/>
      </w:pPr>
      <w:rPr>
        <w:rFonts w:hint="eastAsia"/>
      </w:rPr>
    </w:lvl>
    <w:lvl w:ilvl="4">
      <w:start w:val="1"/>
      <w:numFmt w:val="decimal"/>
      <w:lvlText w:val="(%5)"/>
      <w:lvlJc w:val="left"/>
      <w:pPr>
        <w:tabs>
          <w:tab w:val="num" w:pos="1854"/>
        </w:tabs>
        <w:ind w:left="1418" w:hanging="284"/>
      </w:pPr>
      <w:rPr>
        <w:rFonts w:hint="eastAsia"/>
      </w:rPr>
    </w:lvl>
    <w:lvl w:ilvl="5">
      <w:start w:val="1"/>
      <w:numFmt w:val="upperRoman"/>
      <w:pStyle w:val="1"/>
      <w:lvlText w:val="%6."/>
      <w:lvlJc w:val="left"/>
      <w:pPr>
        <w:tabs>
          <w:tab w:val="num" w:pos="2138"/>
        </w:tabs>
        <w:ind w:left="1701" w:hanging="283"/>
      </w:pPr>
      <w:rPr>
        <w:rFonts w:hint="eastAsia"/>
      </w:rPr>
    </w:lvl>
    <w:lvl w:ilvl="6">
      <w:start w:val="1"/>
      <w:numFmt w:val="upperLetter"/>
      <w:lvlText w:val="(%7)"/>
      <w:lvlJc w:val="left"/>
      <w:pPr>
        <w:tabs>
          <w:tab w:val="num" w:pos="2421"/>
        </w:tabs>
        <w:ind w:left="1985" w:hanging="284"/>
      </w:pPr>
      <w:rPr>
        <w:rFonts w:hint="eastAsia"/>
      </w:rPr>
    </w:lvl>
    <w:lvl w:ilvl="7">
      <w:start w:val="1"/>
      <w:numFmt w:val="lowerLetter"/>
      <w:lvlText w:val="%8."/>
      <w:lvlJc w:val="left"/>
      <w:pPr>
        <w:tabs>
          <w:tab w:val="num" w:pos="2345"/>
        </w:tabs>
        <w:ind w:left="2268" w:hanging="283"/>
      </w:pPr>
      <w:rPr>
        <w:rFonts w:hint="eastAsia"/>
      </w:rPr>
    </w:lvl>
    <w:lvl w:ilvl="8">
      <w:start w:val="1"/>
      <w:numFmt w:val="lowerLetter"/>
      <w:lvlText w:val="(%9)"/>
      <w:lvlJc w:val="left"/>
      <w:pPr>
        <w:tabs>
          <w:tab w:val="num" w:pos="2988"/>
        </w:tabs>
        <w:ind w:left="2552" w:hanging="284"/>
      </w:pPr>
      <w:rPr>
        <w:rFonts w:hint="eastAsia"/>
      </w:rPr>
    </w:lvl>
  </w:abstractNum>
  <w:abstractNum w:abstractNumId="26" w15:restartNumberingAfterBreak="0">
    <w:nsid w:val="700547CE"/>
    <w:multiLevelType w:val="hybridMultilevel"/>
    <w:tmpl w:val="F2983BA2"/>
    <w:lvl w:ilvl="0" w:tplc="3A1EDD18">
      <w:start w:val="1"/>
      <w:numFmt w:val="taiwaneseCountingThousand"/>
      <w:lvlText w:val="%1、"/>
      <w:lvlJc w:val="left"/>
      <w:pPr>
        <w:tabs>
          <w:tab w:val="num" w:pos="720"/>
        </w:tabs>
        <w:ind w:left="454" w:hanging="454"/>
      </w:pPr>
      <w:rPr>
        <w:rFonts w:eastAsia="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7359788D"/>
    <w:multiLevelType w:val="hybridMultilevel"/>
    <w:tmpl w:val="677C5B6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659145B"/>
    <w:multiLevelType w:val="hybridMultilevel"/>
    <w:tmpl w:val="42620B14"/>
    <w:lvl w:ilvl="0" w:tplc="9DB251A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FC33958"/>
    <w:multiLevelType w:val="hybridMultilevel"/>
    <w:tmpl w:val="C524819C"/>
    <w:lvl w:ilvl="0" w:tplc="D05E376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9"/>
  </w:num>
  <w:num w:numId="2">
    <w:abstractNumId w:val="25"/>
  </w:num>
  <w:num w:numId="3">
    <w:abstractNumId w:val="24"/>
  </w:num>
  <w:num w:numId="4">
    <w:abstractNumId w:val="27"/>
  </w:num>
  <w:num w:numId="5">
    <w:abstractNumId w:val="28"/>
  </w:num>
  <w:num w:numId="6">
    <w:abstractNumId w:val="21"/>
  </w:num>
  <w:num w:numId="7">
    <w:abstractNumId w:val="1"/>
  </w:num>
  <w:num w:numId="8">
    <w:abstractNumId w:val="0"/>
  </w:num>
  <w:num w:numId="9">
    <w:abstractNumId w:val="9"/>
  </w:num>
  <w:num w:numId="10">
    <w:abstractNumId w:val="6"/>
  </w:num>
  <w:num w:numId="11">
    <w:abstractNumId w:val="14"/>
  </w:num>
  <w:num w:numId="12">
    <w:abstractNumId w:val="22"/>
  </w:num>
  <w:num w:numId="13">
    <w:abstractNumId w:val="17"/>
  </w:num>
  <w:num w:numId="14">
    <w:abstractNumId w:val="5"/>
  </w:num>
  <w:num w:numId="15">
    <w:abstractNumId w:val="15"/>
  </w:num>
  <w:num w:numId="16">
    <w:abstractNumId w:val="20"/>
  </w:num>
  <w:num w:numId="17">
    <w:abstractNumId w:val="26"/>
  </w:num>
  <w:num w:numId="18">
    <w:abstractNumId w:val="13"/>
  </w:num>
  <w:num w:numId="19">
    <w:abstractNumId w:val="23"/>
  </w:num>
  <w:num w:numId="20">
    <w:abstractNumId w:val="12"/>
  </w:num>
  <w:num w:numId="21">
    <w:abstractNumId w:val="8"/>
  </w:num>
  <w:num w:numId="22">
    <w:abstractNumId w:val="7"/>
  </w:num>
  <w:num w:numId="23">
    <w:abstractNumId w:val="29"/>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
  </w:num>
  <w:num w:numId="27">
    <w:abstractNumId w:val="3"/>
  </w:num>
  <w:num w:numId="28">
    <w:abstractNumId w:val="4"/>
  </w:num>
  <w:num w:numId="29">
    <w:abstractNumId w:val="10"/>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758"/>
    <w:rsid w:val="00000E3F"/>
    <w:rsid w:val="00001978"/>
    <w:rsid w:val="00003944"/>
    <w:rsid w:val="00005B2A"/>
    <w:rsid w:val="00006D8B"/>
    <w:rsid w:val="00007173"/>
    <w:rsid w:val="00007816"/>
    <w:rsid w:val="0001081A"/>
    <w:rsid w:val="000118B6"/>
    <w:rsid w:val="00011EBA"/>
    <w:rsid w:val="0001285E"/>
    <w:rsid w:val="00014226"/>
    <w:rsid w:val="0001477C"/>
    <w:rsid w:val="00014FED"/>
    <w:rsid w:val="000179E8"/>
    <w:rsid w:val="000253A1"/>
    <w:rsid w:val="000309E3"/>
    <w:rsid w:val="00032FC2"/>
    <w:rsid w:val="000331A5"/>
    <w:rsid w:val="000332B1"/>
    <w:rsid w:val="000379BB"/>
    <w:rsid w:val="00040B5F"/>
    <w:rsid w:val="00041EC8"/>
    <w:rsid w:val="00044E3A"/>
    <w:rsid w:val="00045701"/>
    <w:rsid w:val="0004614E"/>
    <w:rsid w:val="000476E3"/>
    <w:rsid w:val="0004774A"/>
    <w:rsid w:val="00050AD8"/>
    <w:rsid w:val="000528F2"/>
    <w:rsid w:val="00052B38"/>
    <w:rsid w:val="000541C8"/>
    <w:rsid w:val="00055415"/>
    <w:rsid w:val="0005667F"/>
    <w:rsid w:val="000567A1"/>
    <w:rsid w:val="00057785"/>
    <w:rsid w:val="00061199"/>
    <w:rsid w:val="00061FD2"/>
    <w:rsid w:val="00062510"/>
    <w:rsid w:val="000642A2"/>
    <w:rsid w:val="000643BA"/>
    <w:rsid w:val="00064B0D"/>
    <w:rsid w:val="00066706"/>
    <w:rsid w:val="00071C49"/>
    <w:rsid w:val="000733EB"/>
    <w:rsid w:val="00074572"/>
    <w:rsid w:val="0007592C"/>
    <w:rsid w:val="00077306"/>
    <w:rsid w:val="00077658"/>
    <w:rsid w:val="00081ECE"/>
    <w:rsid w:val="000831B3"/>
    <w:rsid w:val="00083617"/>
    <w:rsid w:val="00083B87"/>
    <w:rsid w:val="000848B5"/>
    <w:rsid w:val="00085500"/>
    <w:rsid w:val="00090147"/>
    <w:rsid w:val="000945BA"/>
    <w:rsid w:val="00095758"/>
    <w:rsid w:val="000A048C"/>
    <w:rsid w:val="000A0EB6"/>
    <w:rsid w:val="000A1A0E"/>
    <w:rsid w:val="000A4149"/>
    <w:rsid w:val="000A4979"/>
    <w:rsid w:val="000A5E87"/>
    <w:rsid w:val="000B053B"/>
    <w:rsid w:val="000B05C0"/>
    <w:rsid w:val="000B34A1"/>
    <w:rsid w:val="000B6D60"/>
    <w:rsid w:val="000B7B46"/>
    <w:rsid w:val="000C037D"/>
    <w:rsid w:val="000C5475"/>
    <w:rsid w:val="000C5AD3"/>
    <w:rsid w:val="000C7F26"/>
    <w:rsid w:val="000D1B2F"/>
    <w:rsid w:val="000D1DD5"/>
    <w:rsid w:val="000D2296"/>
    <w:rsid w:val="000D22EA"/>
    <w:rsid w:val="000D3D05"/>
    <w:rsid w:val="000D4D1E"/>
    <w:rsid w:val="000D50D9"/>
    <w:rsid w:val="000D5308"/>
    <w:rsid w:val="000D6026"/>
    <w:rsid w:val="000D6CFE"/>
    <w:rsid w:val="000D7610"/>
    <w:rsid w:val="000E06B6"/>
    <w:rsid w:val="000E3061"/>
    <w:rsid w:val="000E4101"/>
    <w:rsid w:val="000E425A"/>
    <w:rsid w:val="000E46EA"/>
    <w:rsid w:val="000E4CFF"/>
    <w:rsid w:val="000E5403"/>
    <w:rsid w:val="000E57FA"/>
    <w:rsid w:val="000E5C20"/>
    <w:rsid w:val="000E7536"/>
    <w:rsid w:val="000F16F1"/>
    <w:rsid w:val="000F252A"/>
    <w:rsid w:val="000F59B8"/>
    <w:rsid w:val="000F611E"/>
    <w:rsid w:val="000F7B5A"/>
    <w:rsid w:val="0010066E"/>
    <w:rsid w:val="001010AB"/>
    <w:rsid w:val="0010219B"/>
    <w:rsid w:val="00104A68"/>
    <w:rsid w:val="00105C29"/>
    <w:rsid w:val="00106DBD"/>
    <w:rsid w:val="00107F30"/>
    <w:rsid w:val="00114864"/>
    <w:rsid w:val="001159F9"/>
    <w:rsid w:val="001169FC"/>
    <w:rsid w:val="001215D6"/>
    <w:rsid w:val="0012208D"/>
    <w:rsid w:val="00122B5F"/>
    <w:rsid w:val="00126C77"/>
    <w:rsid w:val="001310B4"/>
    <w:rsid w:val="00132746"/>
    <w:rsid w:val="001343DC"/>
    <w:rsid w:val="0013615C"/>
    <w:rsid w:val="00136BB4"/>
    <w:rsid w:val="001414A6"/>
    <w:rsid w:val="00141A59"/>
    <w:rsid w:val="00143F2D"/>
    <w:rsid w:val="001449A4"/>
    <w:rsid w:val="00144C4F"/>
    <w:rsid w:val="0014595D"/>
    <w:rsid w:val="0015074B"/>
    <w:rsid w:val="0015275C"/>
    <w:rsid w:val="00152DA7"/>
    <w:rsid w:val="00156B8C"/>
    <w:rsid w:val="001578AC"/>
    <w:rsid w:val="00161A72"/>
    <w:rsid w:val="00161A79"/>
    <w:rsid w:val="001634C8"/>
    <w:rsid w:val="001639EC"/>
    <w:rsid w:val="001658CF"/>
    <w:rsid w:val="0016645B"/>
    <w:rsid w:val="001675A0"/>
    <w:rsid w:val="001730F0"/>
    <w:rsid w:val="00173248"/>
    <w:rsid w:val="00173803"/>
    <w:rsid w:val="001741B3"/>
    <w:rsid w:val="00174589"/>
    <w:rsid w:val="00174E3E"/>
    <w:rsid w:val="00177413"/>
    <w:rsid w:val="00177424"/>
    <w:rsid w:val="0018049D"/>
    <w:rsid w:val="001809C1"/>
    <w:rsid w:val="0018309C"/>
    <w:rsid w:val="0018348A"/>
    <w:rsid w:val="001858B8"/>
    <w:rsid w:val="001859CF"/>
    <w:rsid w:val="00185C51"/>
    <w:rsid w:val="00187A47"/>
    <w:rsid w:val="00187BCB"/>
    <w:rsid w:val="001904AC"/>
    <w:rsid w:val="001906D9"/>
    <w:rsid w:val="00192AC1"/>
    <w:rsid w:val="001939A4"/>
    <w:rsid w:val="00195900"/>
    <w:rsid w:val="00195B75"/>
    <w:rsid w:val="001974BF"/>
    <w:rsid w:val="001A08AC"/>
    <w:rsid w:val="001A141C"/>
    <w:rsid w:val="001A3287"/>
    <w:rsid w:val="001A36C8"/>
    <w:rsid w:val="001A37AC"/>
    <w:rsid w:val="001A5CA7"/>
    <w:rsid w:val="001A6828"/>
    <w:rsid w:val="001A69AC"/>
    <w:rsid w:val="001B0D17"/>
    <w:rsid w:val="001B2810"/>
    <w:rsid w:val="001B7A63"/>
    <w:rsid w:val="001C0A76"/>
    <w:rsid w:val="001C48EA"/>
    <w:rsid w:val="001D4C90"/>
    <w:rsid w:val="001D4C9F"/>
    <w:rsid w:val="001D53E3"/>
    <w:rsid w:val="001D5E11"/>
    <w:rsid w:val="001D705D"/>
    <w:rsid w:val="001D733C"/>
    <w:rsid w:val="001D7718"/>
    <w:rsid w:val="001D7798"/>
    <w:rsid w:val="001E0760"/>
    <w:rsid w:val="001E1219"/>
    <w:rsid w:val="001E2886"/>
    <w:rsid w:val="001E2E63"/>
    <w:rsid w:val="001E364B"/>
    <w:rsid w:val="001E3B56"/>
    <w:rsid w:val="001E72EC"/>
    <w:rsid w:val="001E779C"/>
    <w:rsid w:val="001F075E"/>
    <w:rsid w:val="001F0FEB"/>
    <w:rsid w:val="001F1BAF"/>
    <w:rsid w:val="001F38F6"/>
    <w:rsid w:val="001F3EF4"/>
    <w:rsid w:val="001F6410"/>
    <w:rsid w:val="001F77BA"/>
    <w:rsid w:val="001F7D11"/>
    <w:rsid w:val="0020041C"/>
    <w:rsid w:val="002013F7"/>
    <w:rsid w:val="0020168C"/>
    <w:rsid w:val="00201A1A"/>
    <w:rsid w:val="00203CCE"/>
    <w:rsid w:val="00206A38"/>
    <w:rsid w:val="0020703F"/>
    <w:rsid w:val="002079EC"/>
    <w:rsid w:val="00210E75"/>
    <w:rsid w:val="00212484"/>
    <w:rsid w:val="00212C0F"/>
    <w:rsid w:val="00213BBC"/>
    <w:rsid w:val="00213C0A"/>
    <w:rsid w:val="002147D1"/>
    <w:rsid w:val="00215FFE"/>
    <w:rsid w:val="00216D05"/>
    <w:rsid w:val="00217350"/>
    <w:rsid w:val="0022159E"/>
    <w:rsid w:val="002231B4"/>
    <w:rsid w:val="00223297"/>
    <w:rsid w:val="0022442A"/>
    <w:rsid w:val="002256CC"/>
    <w:rsid w:val="00225BD6"/>
    <w:rsid w:val="00226A6C"/>
    <w:rsid w:val="0023016F"/>
    <w:rsid w:val="00231980"/>
    <w:rsid w:val="00235912"/>
    <w:rsid w:val="0023662E"/>
    <w:rsid w:val="00241CD6"/>
    <w:rsid w:val="00242367"/>
    <w:rsid w:val="00242594"/>
    <w:rsid w:val="00243687"/>
    <w:rsid w:val="00245E59"/>
    <w:rsid w:val="00246D0D"/>
    <w:rsid w:val="002472B9"/>
    <w:rsid w:val="00251ABD"/>
    <w:rsid w:val="002521F2"/>
    <w:rsid w:val="002527FD"/>
    <w:rsid w:val="00254632"/>
    <w:rsid w:val="0025577F"/>
    <w:rsid w:val="00256AB3"/>
    <w:rsid w:val="002574A1"/>
    <w:rsid w:val="00257784"/>
    <w:rsid w:val="00261CB1"/>
    <w:rsid w:val="00262F11"/>
    <w:rsid w:val="002637AD"/>
    <w:rsid w:val="002648A8"/>
    <w:rsid w:val="00264A2A"/>
    <w:rsid w:val="0026584E"/>
    <w:rsid w:val="00267CA2"/>
    <w:rsid w:val="00267E1C"/>
    <w:rsid w:val="002700CD"/>
    <w:rsid w:val="00271565"/>
    <w:rsid w:val="00275C70"/>
    <w:rsid w:val="002764F7"/>
    <w:rsid w:val="00277DCC"/>
    <w:rsid w:val="00282491"/>
    <w:rsid w:val="002837A0"/>
    <w:rsid w:val="00283D48"/>
    <w:rsid w:val="00283E23"/>
    <w:rsid w:val="002864DC"/>
    <w:rsid w:val="002901DB"/>
    <w:rsid w:val="00292A3D"/>
    <w:rsid w:val="002940E5"/>
    <w:rsid w:val="002952D8"/>
    <w:rsid w:val="00297764"/>
    <w:rsid w:val="002A00C8"/>
    <w:rsid w:val="002A26F6"/>
    <w:rsid w:val="002A39A5"/>
    <w:rsid w:val="002A50F2"/>
    <w:rsid w:val="002A51A6"/>
    <w:rsid w:val="002A5212"/>
    <w:rsid w:val="002A578A"/>
    <w:rsid w:val="002A67C0"/>
    <w:rsid w:val="002A69EC"/>
    <w:rsid w:val="002A6C15"/>
    <w:rsid w:val="002B232C"/>
    <w:rsid w:val="002B23A7"/>
    <w:rsid w:val="002B4704"/>
    <w:rsid w:val="002B4CA7"/>
    <w:rsid w:val="002B5473"/>
    <w:rsid w:val="002C1821"/>
    <w:rsid w:val="002C2560"/>
    <w:rsid w:val="002C49D2"/>
    <w:rsid w:val="002C5503"/>
    <w:rsid w:val="002C5A70"/>
    <w:rsid w:val="002C602F"/>
    <w:rsid w:val="002D083C"/>
    <w:rsid w:val="002D1790"/>
    <w:rsid w:val="002D2897"/>
    <w:rsid w:val="002D44DC"/>
    <w:rsid w:val="002D4BA0"/>
    <w:rsid w:val="002E107E"/>
    <w:rsid w:val="002E4079"/>
    <w:rsid w:val="002E54B9"/>
    <w:rsid w:val="002E6248"/>
    <w:rsid w:val="002F0A6F"/>
    <w:rsid w:val="002F19CD"/>
    <w:rsid w:val="002F2AAA"/>
    <w:rsid w:val="002F2DC4"/>
    <w:rsid w:val="002F389A"/>
    <w:rsid w:val="002F3C4D"/>
    <w:rsid w:val="002F6F86"/>
    <w:rsid w:val="0030079F"/>
    <w:rsid w:val="00300C8E"/>
    <w:rsid w:val="003010DD"/>
    <w:rsid w:val="00301236"/>
    <w:rsid w:val="003044BC"/>
    <w:rsid w:val="00304820"/>
    <w:rsid w:val="0030500B"/>
    <w:rsid w:val="00305F7B"/>
    <w:rsid w:val="003062C4"/>
    <w:rsid w:val="00310520"/>
    <w:rsid w:val="00310DFF"/>
    <w:rsid w:val="0031248E"/>
    <w:rsid w:val="0031288F"/>
    <w:rsid w:val="003161A8"/>
    <w:rsid w:val="00316544"/>
    <w:rsid w:val="00316920"/>
    <w:rsid w:val="00317362"/>
    <w:rsid w:val="00320BBD"/>
    <w:rsid w:val="00320BBE"/>
    <w:rsid w:val="00322FFF"/>
    <w:rsid w:val="00323F6A"/>
    <w:rsid w:val="00326BCA"/>
    <w:rsid w:val="00327AD3"/>
    <w:rsid w:val="003328D8"/>
    <w:rsid w:val="003334E4"/>
    <w:rsid w:val="00333FCB"/>
    <w:rsid w:val="00334CAC"/>
    <w:rsid w:val="00337FD8"/>
    <w:rsid w:val="00341B1F"/>
    <w:rsid w:val="00343584"/>
    <w:rsid w:val="00344D10"/>
    <w:rsid w:val="00344EAF"/>
    <w:rsid w:val="0034677A"/>
    <w:rsid w:val="00350DCD"/>
    <w:rsid w:val="0035144C"/>
    <w:rsid w:val="00351570"/>
    <w:rsid w:val="00354FFD"/>
    <w:rsid w:val="003552F5"/>
    <w:rsid w:val="003610D6"/>
    <w:rsid w:val="003618A1"/>
    <w:rsid w:val="00361CC5"/>
    <w:rsid w:val="003653CB"/>
    <w:rsid w:val="00370AD6"/>
    <w:rsid w:val="003711F4"/>
    <w:rsid w:val="00372035"/>
    <w:rsid w:val="003728E4"/>
    <w:rsid w:val="0037308A"/>
    <w:rsid w:val="00373B4D"/>
    <w:rsid w:val="003741A6"/>
    <w:rsid w:val="003761CE"/>
    <w:rsid w:val="0037687A"/>
    <w:rsid w:val="00377E1C"/>
    <w:rsid w:val="00381066"/>
    <w:rsid w:val="00381989"/>
    <w:rsid w:val="00382CD9"/>
    <w:rsid w:val="00383D9E"/>
    <w:rsid w:val="003854DF"/>
    <w:rsid w:val="00386331"/>
    <w:rsid w:val="00391574"/>
    <w:rsid w:val="00392DF6"/>
    <w:rsid w:val="003943D7"/>
    <w:rsid w:val="00394B65"/>
    <w:rsid w:val="00394BBD"/>
    <w:rsid w:val="00396FCF"/>
    <w:rsid w:val="00397C2F"/>
    <w:rsid w:val="00397DBF"/>
    <w:rsid w:val="003A3B51"/>
    <w:rsid w:val="003A4670"/>
    <w:rsid w:val="003A4702"/>
    <w:rsid w:val="003A52D5"/>
    <w:rsid w:val="003A6483"/>
    <w:rsid w:val="003B1516"/>
    <w:rsid w:val="003B1D3A"/>
    <w:rsid w:val="003B2AD3"/>
    <w:rsid w:val="003B3079"/>
    <w:rsid w:val="003B331A"/>
    <w:rsid w:val="003B54C8"/>
    <w:rsid w:val="003C23AE"/>
    <w:rsid w:val="003C246B"/>
    <w:rsid w:val="003C2C46"/>
    <w:rsid w:val="003C50BF"/>
    <w:rsid w:val="003C5A9E"/>
    <w:rsid w:val="003C645B"/>
    <w:rsid w:val="003D1C41"/>
    <w:rsid w:val="003D3C13"/>
    <w:rsid w:val="003D45D1"/>
    <w:rsid w:val="003D4630"/>
    <w:rsid w:val="003D57C9"/>
    <w:rsid w:val="003D796D"/>
    <w:rsid w:val="003E2125"/>
    <w:rsid w:val="003E21F1"/>
    <w:rsid w:val="003E3654"/>
    <w:rsid w:val="003E4D82"/>
    <w:rsid w:val="003E5681"/>
    <w:rsid w:val="003E6A5D"/>
    <w:rsid w:val="003E7DA9"/>
    <w:rsid w:val="003F08D1"/>
    <w:rsid w:val="003F0B9D"/>
    <w:rsid w:val="003F0E11"/>
    <w:rsid w:val="003F109B"/>
    <w:rsid w:val="003F2741"/>
    <w:rsid w:val="003F5D3D"/>
    <w:rsid w:val="003F5E50"/>
    <w:rsid w:val="003F6709"/>
    <w:rsid w:val="003F6EE3"/>
    <w:rsid w:val="003F70CC"/>
    <w:rsid w:val="00400862"/>
    <w:rsid w:val="00400A03"/>
    <w:rsid w:val="0040104A"/>
    <w:rsid w:val="0040137D"/>
    <w:rsid w:val="004020FC"/>
    <w:rsid w:val="00402240"/>
    <w:rsid w:val="004031C5"/>
    <w:rsid w:val="00404C11"/>
    <w:rsid w:val="004061D3"/>
    <w:rsid w:val="004064B1"/>
    <w:rsid w:val="00410A92"/>
    <w:rsid w:val="00410DB5"/>
    <w:rsid w:val="00411FBB"/>
    <w:rsid w:val="0041458A"/>
    <w:rsid w:val="004174DC"/>
    <w:rsid w:val="00420C34"/>
    <w:rsid w:val="00425904"/>
    <w:rsid w:val="00425A28"/>
    <w:rsid w:val="00425DB5"/>
    <w:rsid w:val="0042702C"/>
    <w:rsid w:val="00427756"/>
    <w:rsid w:val="00432069"/>
    <w:rsid w:val="00432696"/>
    <w:rsid w:val="00433146"/>
    <w:rsid w:val="00433404"/>
    <w:rsid w:val="00434C57"/>
    <w:rsid w:val="004356FB"/>
    <w:rsid w:val="00436122"/>
    <w:rsid w:val="00436836"/>
    <w:rsid w:val="00437C8F"/>
    <w:rsid w:val="004436FE"/>
    <w:rsid w:val="00443E09"/>
    <w:rsid w:val="00443EFF"/>
    <w:rsid w:val="0044520C"/>
    <w:rsid w:val="004456E9"/>
    <w:rsid w:val="004519E5"/>
    <w:rsid w:val="004520C3"/>
    <w:rsid w:val="00452625"/>
    <w:rsid w:val="004526EF"/>
    <w:rsid w:val="00453F81"/>
    <w:rsid w:val="00454CDF"/>
    <w:rsid w:val="0045740D"/>
    <w:rsid w:val="00457B71"/>
    <w:rsid w:val="00462CC2"/>
    <w:rsid w:val="00463112"/>
    <w:rsid w:val="00463EDB"/>
    <w:rsid w:val="00466E85"/>
    <w:rsid w:val="004721FD"/>
    <w:rsid w:val="00474480"/>
    <w:rsid w:val="004747AB"/>
    <w:rsid w:val="00476D72"/>
    <w:rsid w:val="00481F54"/>
    <w:rsid w:val="00482F37"/>
    <w:rsid w:val="00484CA7"/>
    <w:rsid w:val="004869E8"/>
    <w:rsid w:val="00487B67"/>
    <w:rsid w:val="00487C94"/>
    <w:rsid w:val="0049077B"/>
    <w:rsid w:val="00491BF0"/>
    <w:rsid w:val="004930BB"/>
    <w:rsid w:val="00493C15"/>
    <w:rsid w:val="004953A2"/>
    <w:rsid w:val="00497044"/>
    <w:rsid w:val="00497096"/>
    <w:rsid w:val="004979CA"/>
    <w:rsid w:val="004A0D9F"/>
    <w:rsid w:val="004A13FA"/>
    <w:rsid w:val="004A2819"/>
    <w:rsid w:val="004A485C"/>
    <w:rsid w:val="004A57C6"/>
    <w:rsid w:val="004A6F4B"/>
    <w:rsid w:val="004B094F"/>
    <w:rsid w:val="004B45A7"/>
    <w:rsid w:val="004B54B7"/>
    <w:rsid w:val="004B626A"/>
    <w:rsid w:val="004C1375"/>
    <w:rsid w:val="004C32EC"/>
    <w:rsid w:val="004C3DA2"/>
    <w:rsid w:val="004C48B4"/>
    <w:rsid w:val="004C7E9D"/>
    <w:rsid w:val="004D0878"/>
    <w:rsid w:val="004D1964"/>
    <w:rsid w:val="004D1E73"/>
    <w:rsid w:val="004D2D24"/>
    <w:rsid w:val="004D72E5"/>
    <w:rsid w:val="004E2C76"/>
    <w:rsid w:val="004E3092"/>
    <w:rsid w:val="004E330F"/>
    <w:rsid w:val="004E6154"/>
    <w:rsid w:val="004F1BE5"/>
    <w:rsid w:val="004F2A0C"/>
    <w:rsid w:val="004F3F2F"/>
    <w:rsid w:val="004F3F83"/>
    <w:rsid w:val="004F4D1A"/>
    <w:rsid w:val="004F55E1"/>
    <w:rsid w:val="004F643E"/>
    <w:rsid w:val="004F6A2E"/>
    <w:rsid w:val="004F6C2A"/>
    <w:rsid w:val="004F6F14"/>
    <w:rsid w:val="004F6F7A"/>
    <w:rsid w:val="004F76E5"/>
    <w:rsid w:val="004F7B0F"/>
    <w:rsid w:val="004F7DAC"/>
    <w:rsid w:val="004F7EBC"/>
    <w:rsid w:val="005021A2"/>
    <w:rsid w:val="00505F4E"/>
    <w:rsid w:val="00506650"/>
    <w:rsid w:val="00506855"/>
    <w:rsid w:val="00510E50"/>
    <w:rsid w:val="00511A1E"/>
    <w:rsid w:val="00511B0C"/>
    <w:rsid w:val="00516A8C"/>
    <w:rsid w:val="00517236"/>
    <w:rsid w:val="0052109B"/>
    <w:rsid w:val="005214FD"/>
    <w:rsid w:val="00521FCF"/>
    <w:rsid w:val="005224A7"/>
    <w:rsid w:val="005230EA"/>
    <w:rsid w:val="005242A3"/>
    <w:rsid w:val="00525BE1"/>
    <w:rsid w:val="00525E0C"/>
    <w:rsid w:val="00525F7C"/>
    <w:rsid w:val="0052790F"/>
    <w:rsid w:val="00530DEE"/>
    <w:rsid w:val="00530FA8"/>
    <w:rsid w:val="00531769"/>
    <w:rsid w:val="00531B0A"/>
    <w:rsid w:val="00532424"/>
    <w:rsid w:val="00532EE9"/>
    <w:rsid w:val="0053314C"/>
    <w:rsid w:val="005346EE"/>
    <w:rsid w:val="00534E32"/>
    <w:rsid w:val="00540251"/>
    <w:rsid w:val="00540C10"/>
    <w:rsid w:val="005431CF"/>
    <w:rsid w:val="00545897"/>
    <w:rsid w:val="00547B0D"/>
    <w:rsid w:val="00550833"/>
    <w:rsid w:val="00553F2F"/>
    <w:rsid w:val="00555DC5"/>
    <w:rsid w:val="005564D2"/>
    <w:rsid w:val="00556C3C"/>
    <w:rsid w:val="0056094C"/>
    <w:rsid w:val="005620B4"/>
    <w:rsid w:val="00563BF4"/>
    <w:rsid w:val="00564B76"/>
    <w:rsid w:val="005653D9"/>
    <w:rsid w:val="0056614E"/>
    <w:rsid w:val="00566240"/>
    <w:rsid w:val="005675DF"/>
    <w:rsid w:val="00570BCB"/>
    <w:rsid w:val="00574757"/>
    <w:rsid w:val="005760BD"/>
    <w:rsid w:val="00576F16"/>
    <w:rsid w:val="005836B6"/>
    <w:rsid w:val="00585326"/>
    <w:rsid w:val="0059081D"/>
    <w:rsid w:val="00593A2D"/>
    <w:rsid w:val="00593CBF"/>
    <w:rsid w:val="00595E9A"/>
    <w:rsid w:val="00595FE5"/>
    <w:rsid w:val="005972C1"/>
    <w:rsid w:val="005A0672"/>
    <w:rsid w:val="005A08F9"/>
    <w:rsid w:val="005A234C"/>
    <w:rsid w:val="005A7ADF"/>
    <w:rsid w:val="005B09F1"/>
    <w:rsid w:val="005B239A"/>
    <w:rsid w:val="005B3F14"/>
    <w:rsid w:val="005B5875"/>
    <w:rsid w:val="005B7118"/>
    <w:rsid w:val="005C0B8D"/>
    <w:rsid w:val="005C188A"/>
    <w:rsid w:val="005C1FA5"/>
    <w:rsid w:val="005C2AB1"/>
    <w:rsid w:val="005C4FF5"/>
    <w:rsid w:val="005C7254"/>
    <w:rsid w:val="005C7264"/>
    <w:rsid w:val="005D06F1"/>
    <w:rsid w:val="005D175E"/>
    <w:rsid w:val="005D2419"/>
    <w:rsid w:val="005D39A1"/>
    <w:rsid w:val="005D5A3B"/>
    <w:rsid w:val="005D6C0A"/>
    <w:rsid w:val="005D71D5"/>
    <w:rsid w:val="005D7B80"/>
    <w:rsid w:val="005E2C77"/>
    <w:rsid w:val="005E2EAE"/>
    <w:rsid w:val="005E2FF8"/>
    <w:rsid w:val="005E792F"/>
    <w:rsid w:val="005E7CE7"/>
    <w:rsid w:val="005F1FC5"/>
    <w:rsid w:val="005F2757"/>
    <w:rsid w:val="005F2ED0"/>
    <w:rsid w:val="005F367A"/>
    <w:rsid w:val="005F4BD1"/>
    <w:rsid w:val="005F51A5"/>
    <w:rsid w:val="005F5268"/>
    <w:rsid w:val="005F5ACE"/>
    <w:rsid w:val="005F75C3"/>
    <w:rsid w:val="005F7B2D"/>
    <w:rsid w:val="005F7FB5"/>
    <w:rsid w:val="00602EB0"/>
    <w:rsid w:val="00613672"/>
    <w:rsid w:val="006174A2"/>
    <w:rsid w:val="006176E1"/>
    <w:rsid w:val="00621EB1"/>
    <w:rsid w:val="006223D6"/>
    <w:rsid w:val="00623537"/>
    <w:rsid w:val="0062385A"/>
    <w:rsid w:val="00625EE2"/>
    <w:rsid w:val="00630994"/>
    <w:rsid w:val="00631941"/>
    <w:rsid w:val="0063331B"/>
    <w:rsid w:val="0063661B"/>
    <w:rsid w:val="00636C18"/>
    <w:rsid w:val="00642380"/>
    <w:rsid w:val="006428E2"/>
    <w:rsid w:val="00642F16"/>
    <w:rsid w:val="00644D3E"/>
    <w:rsid w:val="006466EE"/>
    <w:rsid w:val="0064706A"/>
    <w:rsid w:val="00647923"/>
    <w:rsid w:val="00651F2B"/>
    <w:rsid w:val="00653016"/>
    <w:rsid w:val="006533A1"/>
    <w:rsid w:val="00653FD9"/>
    <w:rsid w:val="00654E4A"/>
    <w:rsid w:val="0065593C"/>
    <w:rsid w:val="006563B1"/>
    <w:rsid w:val="00656691"/>
    <w:rsid w:val="0066087C"/>
    <w:rsid w:val="00660A86"/>
    <w:rsid w:val="0066173C"/>
    <w:rsid w:val="006639B6"/>
    <w:rsid w:val="00665F56"/>
    <w:rsid w:val="006660B5"/>
    <w:rsid w:val="00667B47"/>
    <w:rsid w:val="00671714"/>
    <w:rsid w:val="006726C1"/>
    <w:rsid w:val="006755FE"/>
    <w:rsid w:val="00681029"/>
    <w:rsid w:val="006810EE"/>
    <w:rsid w:val="00681A7D"/>
    <w:rsid w:val="006822A4"/>
    <w:rsid w:val="00683418"/>
    <w:rsid w:val="00684B98"/>
    <w:rsid w:val="00686CFE"/>
    <w:rsid w:val="006908C2"/>
    <w:rsid w:val="00690A41"/>
    <w:rsid w:val="00690B88"/>
    <w:rsid w:val="00690BE1"/>
    <w:rsid w:val="00696BE0"/>
    <w:rsid w:val="006970A1"/>
    <w:rsid w:val="00697B60"/>
    <w:rsid w:val="006A0FA6"/>
    <w:rsid w:val="006A118C"/>
    <w:rsid w:val="006A2EB6"/>
    <w:rsid w:val="006A2F20"/>
    <w:rsid w:val="006A5CFD"/>
    <w:rsid w:val="006A6F0E"/>
    <w:rsid w:val="006B01F2"/>
    <w:rsid w:val="006B2D47"/>
    <w:rsid w:val="006B2E61"/>
    <w:rsid w:val="006B3236"/>
    <w:rsid w:val="006B332F"/>
    <w:rsid w:val="006B37CA"/>
    <w:rsid w:val="006B3B37"/>
    <w:rsid w:val="006B4ABF"/>
    <w:rsid w:val="006B5CA9"/>
    <w:rsid w:val="006B6143"/>
    <w:rsid w:val="006B78C2"/>
    <w:rsid w:val="006C0C97"/>
    <w:rsid w:val="006C5AC2"/>
    <w:rsid w:val="006C6015"/>
    <w:rsid w:val="006C612E"/>
    <w:rsid w:val="006C652A"/>
    <w:rsid w:val="006C6809"/>
    <w:rsid w:val="006C6E94"/>
    <w:rsid w:val="006C73A1"/>
    <w:rsid w:val="006D0157"/>
    <w:rsid w:val="006D14D3"/>
    <w:rsid w:val="006D2042"/>
    <w:rsid w:val="006D2BD9"/>
    <w:rsid w:val="006D44EE"/>
    <w:rsid w:val="006D5033"/>
    <w:rsid w:val="006D7CE8"/>
    <w:rsid w:val="006E298D"/>
    <w:rsid w:val="006E5B3A"/>
    <w:rsid w:val="006E6D21"/>
    <w:rsid w:val="006E7C73"/>
    <w:rsid w:val="006F031C"/>
    <w:rsid w:val="006F05BC"/>
    <w:rsid w:val="006F1564"/>
    <w:rsid w:val="006F1F1C"/>
    <w:rsid w:val="00702789"/>
    <w:rsid w:val="00703AC9"/>
    <w:rsid w:val="00705A28"/>
    <w:rsid w:val="007072AF"/>
    <w:rsid w:val="00707B45"/>
    <w:rsid w:val="00710127"/>
    <w:rsid w:val="0071192A"/>
    <w:rsid w:val="0071237F"/>
    <w:rsid w:val="0071278D"/>
    <w:rsid w:val="00713643"/>
    <w:rsid w:val="00713F98"/>
    <w:rsid w:val="00715A27"/>
    <w:rsid w:val="00716D18"/>
    <w:rsid w:val="0071793F"/>
    <w:rsid w:val="00717BF8"/>
    <w:rsid w:val="0072044F"/>
    <w:rsid w:val="00720834"/>
    <w:rsid w:val="00720D36"/>
    <w:rsid w:val="007241A9"/>
    <w:rsid w:val="00724515"/>
    <w:rsid w:val="00725C31"/>
    <w:rsid w:val="007274B6"/>
    <w:rsid w:val="007276EE"/>
    <w:rsid w:val="00730B4C"/>
    <w:rsid w:val="00731760"/>
    <w:rsid w:val="00731ED9"/>
    <w:rsid w:val="0073296C"/>
    <w:rsid w:val="00733CF7"/>
    <w:rsid w:val="007349DF"/>
    <w:rsid w:val="00736745"/>
    <w:rsid w:val="0074193A"/>
    <w:rsid w:val="00742C33"/>
    <w:rsid w:val="00743A4C"/>
    <w:rsid w:val="0074519A"/>
    <w:rsid w:val="007473BC"/>
    <w:rsid w:val="00747747"/>
    <w:rsid w:val="00747DFC"/>
    <w:rsid w:val="0075054E"/>
    <w:rsid w:val="0075127E"/>
    <w:rsid w:val="007512B1"/>
    <w:rsid w:val="007514E4"/>
    <w:rsid w:val="007537DE"/>
    <w:rsid w:val="00754D40"/>
    <w:rsid w:val="00755E88"/>
    <w:rsid w:val="00757F7B"/>
    <w:rsid w:val="007622B2"/>
    <w:rsid w:val="007629C6"/>
    <w:rsid w:val="00762BA0"/>
    <w:rsid w:val="00762C1C"/>
    <w:rsid w:val="00766E79"/>
    <w:rsid w:val="00771442"/>
    <w:rsid w:val="00772A8B"/>
    <w:rsid w:val="00773764"/>
    <w:rsid w:val="007737A5"/>
    <w:rsid w:val="00776407"/>
    <w:rsid w:val="007764C7"/>
    <w:rsid w:val="0077740E"/>
    <w:rsid w:val="00777836"/>
    <w:rsid w:val="00782986"/>
    <w:rsid w:val="00782FAD"/>
    <w:rsid w:val="007834CA"/>
    <w:rsid w:val="007842E8"/>
    <w:rsid w:val="007847D8"/>
    <w:rsid w:val="00790656"/>
    <w:rsid w:val="00790B35"/>
    <w:rsid w:val="00790CC7"/>
    <w:rsid w:val="00790E94"/>
    <w:rsid w:val="00791E26"/>
    <w:rsid w:val="00793181"/>
    <w:rsid w:val="007942F7"/>
    <w:rsid w:val="007946B9"/>
    <w:rsid w:val="007950CF"/>
    <w:rsid w:val="00795F7E"/>
    <w:rsid w:val="007A0DAB"/>
    <w:rsid w:val="007A2B8E"/>
    <w:rsid w:val="007A2C03"/>
    <w:rsid w:val="007A46DD"/>
    <w:rsid w:val="007A475A"/>
    <w:rsid w:val="007A5A3C"/>
    <w:rsid w:val="007A5C93"/>
    <w:rsid w:val="007A7416"/>
    <w:rsid w:val="007A7E99"/>
    <w:rsid w:val="007B2E79"/>
    <w:rsid w:val="007B588A"/>
    <w:rsid w:val="007B5C82"/>
    <w:rsid w:val="007B6C55"/>
    <w:rsid w:val="007B7A99"/>
    <w:rsid w:val="007C0CA6"/>
    <w:rsid w:val="007C0FDA"/>
    <w:rsid w:val="007C2D64"/>
    <w:rsid w:val="007C376B"/>
    <w:rsid w:val="007C406C"/>
    <w:rsid w:val="007C5B59"/>
    <w:rsid w:val="007C5BEB"/>
    <w:rsid w:val="007C6286"/>
    <w:rsid w:val="007C62D5"/>
    <w:rsid w:val="007C662C"/>
    <w:rsid w:val="007D186E"/>
    <w:rsid w:val="007D2437"/>
    <w:rsid w:val="007D31AB"/>
    <w:rsid w:val="007D3BD4"/>
    <w:rsid w:val="007D40B6"/>
    <w:rsid w:val="007D45EE"/>
    <w:rsid w:val="007D5C36"/>
    <w:rsid w:val="007D65B2"/>
    <w:rsid w:val="007D6BDC"/>
    <w:rsid w:val="007D6C4C"/>
    <w:rsid w:val="007D6CDC"/>
    <w:rsid w:val="007D7141"/>
    <w:rsid w:val="007D72B1"/>
    <w:rsid w:val="007D750B"/>
    <w:rsid w:val="007E0EA4"/>
    <w:rsid w:val="007E2817"/>
    <w:rsid w:val="007E5BA3"/>
    <w:rsid w:val="007F1B1F"/>
    <w:rsid w:val="007F1E5D"/>
    <w:rsid w:val="007F69DD"/>
    <w:rsid w:val="007F75E2"/>
    <w:rsid w:val="00801905"/>
    <w:rsid w:val="00802F71"/>
    <w:rsid w:val="0080612B"/>
    <w:rsid w:val="008065E0"/>
    <w:rsid w:val="008076CF"/>
    <w:rsid w:val="008112DB"/>
    <w:rsid w:val="00811FBE"/>
    <w:rsid w:val="00815EFF"/>
    <w:rsid w:val="00820441"/>
    <w:rsid w:val="00820718"/>
    <w:rsid w:val="00822E8C"/>
    <w:rsid w:val="008249B1"/>
    <w:rsid w:val="0082500E"/>
    <w:rsid w:val="008263CB"/>
    <w:rsid w:val="008307DF"/>
    <w:rsid w:val="00833BAF"/>
    <w:rsid w:val="00836741"/>
    <w:rsid w:val="00841BEA"/>
    <w:rsid w:val="008424E5"/>
    <w:rsid w:val="00846A60"/>
    <w:rsid w:val="00847753"/>
    <w:rsid w:val="00851048"/>
    <w:rsid w:val="008516CC"/>
    <w:rsid w:val="00851CCD"/>
    <w:rsid w:val="008524D9"/>
    <w:rsid w:val="0085342D"/>
    <w:rsid w:val="008556B3"/>
    <w:rsid w:val="00855B56"/>
    <w:rsid w:val="0085630C"/>
    <w:rsid w:val="00856A02"/>
    <w:rsid w:val="008576C8"/>
    <w:rsid w:val="00857DBA"/>
    <w:rsid w:val="00863B51"/>
    <w:rsid w:val="00866F58"/>
    <w:rsid w:val="00867D8B"/>
    <w:rsid w:val="00872CB2"/>
    <w:rsid w:val="00872F84"/>
    <w:rsid w:val="00873C7E"/>
    <w:rsid w:val="00876840"/>
    <w:rsid w:val="00876897"/>
    <w:rsid w:val="008777E3"/>
    <w:rsid w:val="00883CD6"/>
    <w:rsid w:val="008840C1"/>
    <w:rsid w:val="0088429C"/>
    <w:rsid w:val="00884B56"/>
    <w:rsid w:val="00887AC2"/>
    <w:rsid w:val="00890A75"/>
    <w:rsid w:val="00891A5A"/>
    <w:rsid w:val="00892234"/>
    <w:rsid w:val="008930DD"/>
    <w:rsid w:val="008939A9"/>
    <w:rsid w:val="00894638"/>
    <w:rsid w:val="00894714"/>
    <w:rsid w:val="00896060"/>
    <w:rsid w:val="008A1685"/>
    <w:rsid w:val="008A51EB"/>
    <w:rsid w:val="008A5C35"/>
    <w:rsid w:val="008B3E86"/>
    <w:rsid w:val="008B465F"/>
    <w:rsid w:val="008B5DAD"/>
    <w:rsid w:val="008B64CB"/>
    <w:rsid w:val="008B7866"/>
    <w:rsid w:val="008C1BB8"/>
    <w:rsid w:val="008C1EA4"/>
    <w:rsid w:val="008C234E"/>
    <w:rsid w:val="008C44FF"/>
    <w:rsid w:val="008C67E8"/>
    <w:rsid w:val="008C7C24"/>
    <w:rsid w:val="008D06F9"/>
    <w:rsid w:val="008D10FC"/>
    <w:rsid w:val="008D3849"/>
    <w:rsid w:val="008D5989"/>
    <w:rsid w:val="008D5C34"/>
    <w:rsid w:val="008D7D58"/>
    <w:rsid w:val="008D7D63"/>
    <w:rsid w:val="008E09D9"/>
    <w:rsid w:val="008E109B"/>
    <w:rsid w:val="008E13D9"/>
    <w:rsid w:val="008E1812"/>
    <w:rsid w:val="008E18A6"/>
    <w:rsid w:val="008E2100"/>
    <w:rsid w:val="008E4880"/>
    <w:rsid w:val="008E6762"/>
    <w:rsid w:val="008E6E98"/>
    <w:rsid w:val="008E7764"/>
    <w:rsid w:val="008F0D8C"/>
    <w:rsid w:val="008F0DC5"/>
    <w:rsid w:val="008F325C"/>
    <w:rsid w:val="008F341F"/>
    <w:rsid w:val="008F3604"/>
    <w:rsid w:val="008F4C53"/>
    <w:rsid w:val="00902C1C"/>
    <w:rsid w:val="00903132"/>
    <w:rsid w:val="009035DA"/>
    <w:rsid w:val="00904B88"/>
    <w:rsid w:val="00905FDF"/>
    <w:rsid w:val="009066DC"/>
    <w:rsid w:val="00907289"/>
    <w:rsid w:val="00907BD0"/>
    <w:rsid w:val="00907CC2"/>
    <w:rsid w:val="00910715"/>
    <w:rsid w:val="00912553"/>
    <w:rsid w:val="00912779"/>
    <w:rsid w:val="00913D6C"/>
    <w:rsid w:val="009177C4"/>
    <w:rsid w:val="0092169B"/>
    <w:rsid w:val="00921B88"/>
    <w:rsid w:val="0092303F"/>
    <w:rsid w:val="009232CF"/>
    <w:rsid w:val="00925362"/>
    <w:rsid w:val="00925E97"/>
    <w:rsid w:val="00927AB8"/>
    <w:rsid w:val="0093160C"/>
    <w:rsid w:val="00931C03"/>
    <w:rsid w:val="009320B0"/>
    <w:rsid w:val="009325D9"/>
    <w:rsid w:val="009332CF"/>
    <w:rsid w:val="00933ECF"/>
    <w:rsid w:val="00934FCB"/>
    <w:rsid w:val="00935FBB"/>
    <w:rsid w:val="00936528"/>
    <w:rsid w:val="0094123C"/>
    <w:rsid w:val="00941E1B"/>
    <w:rsid w:val="00944B04"/>
    <w:rsid w:val="00945F65"/>
    <w:rsid w:val="009507A3"/>
    <w:rsid w:val="009510E0"/>
    <w:rsid w:val="00951FA2"/>
    <w:rsid w:val="00952F50"/>
    <w:rsid w:val="00953D3A"/>
    <w:rsid w:val="00954C9A"/>
    <w:rsid w:val="00954FED"/>
    <w:rsid w:val="00960208"/>
    <w:rsid w:val="009602A7"/>
    <w:rsid w:val="009603D7"/>
    <w:rsid w:val="009635A3"/>
    <w:rsid w:val="0096489D"/>
    <w:rsid w:val="00964A25"/>
    <w:rsid w:val="00964A2F"/>
    <w:rsid w:val="00965C2F"/>
    <w:rsid w:val="009660A5"/>
    <w:rsid w:val="00967E80"/>
    <w:rsid w:val="0097132E"/>
    <w:rsid w:val="009723F7"/>
    <w:rsid w:val="009724DC"/>
    <w:rsid w:val="00972981"/>
    <w:rsid w:val="00972DC9"/>
    <w:rsid w:val="009736F3"/>
    <w:rsid w:val="009765E0"/>
    <w:rsid w:val="009766F0"/>
    <w:rsid w:val="00977247"/>
    <w:rsid w:val="009778DD"/>
    <w:rsid w:val="00980452"/>
    <w:rsid w:val="009815F7"/>
    <w:rsid w:val="00982D8D"/>
    <w:rsid w:val="009851F2"/>
    <w:rsid w:val="00986068"/>
    <w:rsid w:val="00986CFD"/>
    <w:rsid w:val="00987E45"/>
    <w:rsid w:val="0099148E"/>
    <w:rsid w:val="00992086"/>
    <w:rsid w:val="00992BE8"/>
    <w:rsid w:val="00992D5A"/>
    <w:rsid w:val="009935B9"/>
    <w:rsid w:val="009955C1"/>
    <w:rsid w:val="00995BD1"/>
    <w:rsid w:val="00996EF2"/>
    <w:rsid w:val="00997BFF"/>
    <w:rsid w:val="009A0F9B"/>
    <w:rsid w:val="009A2063"/>
    <w:rsid w:val="009A322E"/>
    <w:rsid w:val="009A4A79"/>
    <w:rsid w:val="009A6C56"/>
    <w:rsid w:val="009B1439"/>
    <w:rsid w:val="009B4287"/>
    <w:rsid w:val="009B4328"/>
    <w:rsid w:val="009B518E"/>
    <w:rsid w:val="009B605F"/>
    <w:rsid w:val="009B70F5"/>
    <w:rsid w:val="009C0B19"/>
    <w:rsid w:val="009C185B"/>
    <w:rsid w:val="009C1A58"/>
    <w:rsid w:val="009C782F"/>
    <w:rsid w:val="009D04AB"/>
    <w:rsid w:val="009D0634"/>
    <w:rsid w:val="009D08E8"/>
    <w:rsid w:val="009D0BBD"/>
    <w:rsid w:val="009D2202"/>
    <w:rsid w:val="009D27CD"/>
    <w:rsid w:val="009D53D3"/>
    <w:rsid w:val="009D5B9D"/>
    <w:rsid w:val="009D6C6F"/>
    <w:rsid w:val="009D70E3"/>
    <w:rsid w:val="009D7583"/>
    <w:rsid w:val="009E0737"/>
    <w:rsid w:val="009E0B9C"/>
    <w:rsid w:val="009E253D"/>
    <w:rsid w:val="009E506D"/>
    <w:rsid w:val="009E5FE4"/>
    <w:rsid w:val="009E62C6"/>
    <w:rsid w:val="009E7008"/>
    <w:rsid w:val="009E7836"/>
    <w:rsid w:val="009F4618"/>
    <w:rsid w:val="009F6777"/>
    <w:rsid w:val="009F699A"/>
    <w:rsid w:val="009F7319"/>
    <w:rsid w:val="00A060EC"/>
    <w:rsid w:val="00A10CB7"/>
    <w:rsid w:val="00A1168E"/>
    <w:rsid w:val="00A11709"/>
    <w:rsid w:val="00A125C6"/>
    <w:rsid w:val="00A132BE"/>
    <w:rsid w:val="00A1331C"/>
    <w:rsid w:val="00A138FB"/>
    <w:rsid w:val="00A13D2D"/>
    <w:rsid w:val="00A142F9"/>
    <w:rsid w:val="00A15258"/>
    <w:rsid w:val="00A1712D"/>
    <w:rsid w:val="00A2055E"/>
    <w:rsid w:val="00A21D89"/>
    <w:rsid w:val="00A22BE6"/>
    <w:rsid w:val="00A240E5"/>
    <w:rsid w:val="00A247B2"/>
    <w:rsid w:val="00A26BBA"/>
    <w:rsid w:val="00A2708C"/>
    <w:rsid w:val="00A27B81"/>
    <w:rsid w:val="00A313A1"/>
    <w:rsid w:val="00A314FC"/>
    <w:rsid w:val="00A323BF"/>
    <w:rsid w:val="00A32D25"/>
    <w:rsid w:val="00A33937"/>
    <w:rsid w:val="00A3539F"/>
    <w:rsid w:val="00A37BAD"/>
    <w:rsid w:val="00A41317"/>
    <w:rsid w:val="00A4173E"/>
    <w:rsid w:val="00A42232"/>
    <w:rsid w:val="00A43372"/>
    <w:rsid w:val="00A43BBF"/>
    <w:rsid w:val="00A43E26"/>
    <w:rsid w:val="00A47AB8"/>
    <w:rsid w:val="00A47BD3"/>
    <w:rsid w:val="00A522E8"/>
    <w:rsid w:val="00A52911"/>
    <w:rsid w:val="00A532A6"/>
    <w:rsid w:val="00A544EC"/>
    <w:rsid w:val="00A54A5E"/>
    <w:rsid w:val="00A561D5"/>
    <w:rsid w:val="00A67B79"/>
    <w:rsid w:val="00A73A30"/>
    <w:rsid w:val="00A74591"/>
    <w:rsid w:val="00A74814"/>
    <w:rsid w:val="00A7568F"/>
    <w:rsid w:val="00A75835"/>
    <w:rsid w:val="00A76668"/>
    <w:rsid w:val="00A77000"/>
    <w:rsid w:val="00A772D0"/>
    <w:rsid w:val="00A77440"/>
    <w:rsid w:val="00A77BBB"/>
    <w:rsid w:val="00A8060E"/>
    <w:rsid w:val="00A80BD2"/>
    <w:rsid w:val="00A8445D"/>
    <w:rsid w:val="00A84B67"/>
    <w:rsid w:val="00A852AD"/>
    <w:rsid w:val="00A8568A"/>
    <w:rsid w:val="00A90008"/>
    <w:rsid w:val="00A907F8"/>
    <w:rsid w:val="00A91256"/>
    <w:rsid w:val="00A91717"/>
    <w:rsid w:val="00A92227"/>
    <w:rsid w:val="00A93ACC"/>
    <w:rsid w:val="00A960FC"/>
    <w:rsid w:val="00A96960"/>
    <w:rsid w:val="00A96D2E"/>
    <w:rsid w:val="00AA3BC2"/>
    <w:rsid w:val="00AA4FE3"/>
    <w:rsid w:val="00AA5C7A"/>
    <w:rsid w:val="00AB1235"/>
    <w:rsid w:val="00AB1548"/>
    <w:rsid w:val="00AB180F"/>
    <w:rsid w:val="00AB1DF4"/>
    <w:rsid w:val="00AB26D1"/>
    <w:rsid w:val="00AB3E41"/>
    <w:rsid w:val="00AB4976"/>
    <w:rsid w:val="00AB52E4"/>
    <w:rsid w:val="00AB5806"/>
    <w:rsid w:val="00AC1C3E"/>
    <w:rsid w:val="00AC2E71"/>
    <w:rsid w:val="00AC304A"/>
    <w:rsid w:val="00AC45B4"/>
    <w:rsid w:val="00AC4F6A"/>
    <w:rsid w:val="00AC4FA8"/>
    <w:rsid w:val="00AC52B5"/>
    <w:rsid w:val="00AC709B"/>
    <w:rsid w:val="00AD1F0C"/>
    <w:rsid w:val="00AD2A39"/>
    <w:rsid w:val="00AD33A0"/>
    <w:rsid w:val="00AD52C2"/>
    <w:rsid w:val="00AD5954"/>
    <w:rsid w:val="00AD6372"/>
    <w:rsid w:val="00AE0F61"/>
    <w:rsid w:val="00AE3135"/>
    <w:rsid w:val="00AE55E1"/>
    <w:rsid w:val="00AE5D69"/>
    <w:rsid w:val="00AE5E89"/>
    <w:rsid w:val="00AF0403"/>
    <w:rsid w:val="00AF0B7B"/>
    <w:rsid w:val="00AF309C"/>
    <w:rsid w:val="00AF334E"/>
    <w:rsid w:val="00AF33E5"/>
    <w:rsid w:val="00AF4598"/>
    <w:rsid w:val="00AF55D9"/>
    <w:rsid w:val="00AF6E11"/>
    <w:rsid w:val="00B0080F"/>
    <w:rsid w:val="00B009AC"/>
    <w:rsid w:val="00B0119F"/>
    <w:rsid w:val="00B03CA9"/>
    <w:rsid w:val="00B067A4"/>
    <w:rsid w:val="00B07320"/>
    <w:rsid w:val="00B1135D"/>
    <w:rsid w:val="00B113E7"/>
    <w:rsid w:val="00B119AC"/>
    <w:rsid w:val="00B138B5"/>
    <w:rsid w:val="00B13E59"/>
    <w:rsid w:val="00B1430A"/>
    <w:rsid w:val="00B14586"/>
    <w:rsid w:val="00B14855"/>
    <w:rsid w:val="00B154D6"/>
    <w:rsid w:val="00B169E7"/>
    <w:rsid w:val="00B20BD7"/>
    <w:rsid w:val="00B219EE"/>
    <w:rsid w:val="00B23535"/>
    <w:rsid w:val="00B237EA"/>
    <w:rsid w:val="00B24915"/>
    <w:rsid w:val="00B25CB4"/>
    <w:rsid w:val="00B26D6A"/>
    <w:rsid w:val="00B272D6"/>
    <w:rsid w:val="00B27FB7"/>
    <w:rsid w:val="00B27FD4"/>
    <w:rsid w:val="00B30A22"/>
    <w:rsid w:val="00B30F6A"/>
    <w:rsid w:val="00B31149"/>
    <w:rsid w:val="00B311EA"/>
    <w:rsid w:val="00B31435"/>
    <w:rsid w:val="00B31DEA"/>
    <w:rsid w:val="00B33DC9"/>
    <w:rsid w:val="00B3408D"/>
    <w:rsid w:val="00B3474E"/>
    <w:rsid w:val="00B35B0E"/>
    <w:rsid w:val="00B35CCC"/>
    <w:rsid w:val="00B36F6A"/>
    <w:rsid w:val="00B377C3"/>
    <w:rsid w:val="00B41C23"/>
    <w:rsid w:val="00B420FB"/>
    <w:rsid w:val="00B424D1"/>
    <w:rsid w:val="00B43ECC"/>
    <w:rsid w:val="00B45EFA"/>
    <w:rsid w:val="00B565A9"/>
    <w:rsid w:val="00B61939"/>
    <w:rsid w:val="00B61F98"/>
    <w:rsid w:val="00B63E70"/>
    <w:rsid w:val="00B65DEB"/>
    <w:rsid w:val="00B66118"/>
    <w:rsid w:val="00B67660"/>
    <w:rsid w:val="00B70617"/>
    <w:rsid w:val="00B70758"/>
    <w:rsid w:val="00B7086C"/>
    <w:rsid w:val="00B72E09"/>
    <w:rsid w:val="00B73426"/>
    <w:rsid w:val="00B761D0"/>
    <w:rsid w:val="00B761D8"/>
    <w:rsid w:val="00B76939"/>
    <w:rsid w:val="00B80470"/>
    <w:rsid w:val="00B81266"/>
    <w:rsid w:val="00B8137F"/>
    <w:rsid w:val="00B81CC3"/>
    <w:rsid w:val="00B84A6C"/>
    <w:rsid w:val="00B863BE"/>
    <w:rsid w:val="00B87F2C"/>
    <w:rsid w:val="00B90242"/>
    <w:rsid w:val="00B91763"/>
    <w:rsid w:val="00B92E77"/>
    <w:rsid w:val="00B94926"/>
    <w:rsid w:val="00B95FC6"/>
    <w:rsid w:val="00B963E7"/>
    <w:rsid w:val="00B96C27"/>
    <w:rsid w:val="00B97B5E"/>
    <w:rsid w:val="00BA0498"/>
    <w:rsid w:val="00BA0613"/>
    <w:rsid w:val="00BA0B2E"/>
    <w:rsid w:val="00BA1534"/>
    <w:rsid w:val="00BA1913"/>
    <w:rsid w:val="00BA1B83"/>
    <w:rsid w:val="00BA2656"/>
    <w:rsid w:val="00BA6311"/>
    <w:rsid w:val="00BB0BAB"/>
    <w:rsid w:val="00BB4B38"/>
    <w:rsid w:val="00BB4D0F"/>
    <w:rsid w:val="00BB6931"/>
    <w:rsid w:val="00BB6B9D"/>
    <w:rsid w:val="00BB6CF5"/>
    <w:rsid w:val="00BB74D6"/>
    <w:rsid w:val="00BB74E1"/>
    <w:rsid w:val="00BB7E2C"/>
    <w:rsid w:val="00BC333B"/>
    <w:rsid w:val="00BC4756"/>
    <w:rsid w:val="00BC5B20"/>
    <w:rsid w:val="00BC62CE"/>
    <w:rsid w:val="00BC644F"/>
    <w:rsid w:val="00BC6AEF"/>
    <w:rsid w:val="00BC71A4"/>
    <w:rsid w:val="00BC71D3"/>
    <w:rsid w:val="00BC7846"/>
    <w:rsid w:val="00BD027E"/>
    <w:rsid w:val="00BD02C1"/>
    <w:rsid w:val="00BD149E"/>
    <w:rsid w:val="00BD4A8F"/>
    <w:rsid w:val="00BD756C"/>
    <w:rsid w:val="00BD7CAE"/>
    <w:rsid w:val="00BE0AE1"/>
    <w:rsid w:val="00BE1916"/>
    <w:rsid w:val="00BE1B9D"/>
    <w:rsid w:val="00BE1C0A"/>
    <w:rsid w:val="00BE47B4"/>
    <w:rsid w:val="00BE5ED3"/>
    <w:rsid w:val="00BE78E9"/>
    <w:rsid w:val="00BF1DF1"/>
    <w:rsid w:val="00BF2E47"/>
    <w:rsid w:val="00BF4A76"/>
    <w:rsid w:val="00BF5E89"/>
    <w:rsid w:val="00C00B20"/>
    <w:rsid w:val="00C011A5"/>
    <w:rsid w:val="00C0268C"/>
    <w:rsid w:val="00C03E32"/>
    <w:rsid w:val="00C069F4"/>
    <w:rsid w:val="00C06BAB"/>
    <w:rsid w:val="00C071FC"/>
    <w:rsid w:val="00C0786D"/>
    <w:rsid w:val="00C07BAE"/>
    <w:rsid w:val="00C11323"/>
    <w:rsid w:val="00C13C59"/>
    <w:rsid w:val="00C149DF"/>
    <w:rsid w:val="00C15057"/>
    <w:rsid w:val="00C17039"/>
    <w:rsid w:val="00C2018D"/>
    <w:rsid w:val="00C21161"/>
    <w:rsid w:val="00C21983"/>
    <w:rsid w:val="00C21E21"/>
    <w:rsid w:val="00C24D9E"/>
    <w:rsid w:val="00C253C1"/>
    <w:rsid w:val="00C2648E"/>
    <w:rsid w:val="00C32ED1"/>
    <w:rsid w:val="00C335DC"/>
    <w:rsid w:val="00C34C2D"/>
    <w:rsid w:val="00C34CCF"/>
    <w:rsid w:val="00C35A4F"/>
    <w:rsid w:val="00C35B94"/>
    <w:rsid w:val="00C36035"/>
    <w:rsid w:val="00C36785"/>
    <w:rsid w:val="00C373D5"/>
    <w:rsid w:val="00C37C47"/>
    <w:rsid w:val="00C410C3"/>
    <w:rsid w:val="00C411E4"/>
    <w:rsid w:val="00C42AF7"/>
    <w:rsid w:val="00C43AA7"/>
    <w:rsid w:val="00C43E1A"/>
    <w:rsid w:val="00C442CE"/>
    <w:rsid w:val="00C44604"/>
    <w:rsid w:val="00C4473B"/>
    <w:rsid w:val="00C44B5A"/>
    <w:rsid w:val="00C44FD2"/>
    <w:rsid w:val="00C45567"/>
    <w:rsid w:val="00C466D7"/>
    <w:rsid w:val="00C4678B"/>
    <w:rsid w:val="00C478DD"/>
    <w:rsid w:val="00C504FF"/>
    <w:rsid w:val="00C506BF"/>
    <w:rsid w:val="00C51FD4"/>
    <w:rsid w:val="00C5240F"/>
    <w:rsid w:val="00C55A0B"/>
    <w:rsid w:val="00C56880"/>
    <w:rsid w:val="00C57604"/>
    <w:rsid w:val="00C612EC"/>
    <w:rsid w:val="00C623A2"/>
    <w:rsid w:val="00C6413E"/>
    <w:rsid w:val="00C64DE7"/>
    <w:rsid w:val="00C654C5"/>
    <w:rsid w:val="00C66F98"/>
    <w:rsid w:val="00C67CCC"/>
    <w:rsid w:val="00C71329"/>
    <w:rsid w:val="00C73A87"/>
    <w:rsid w:val="00C74429"/>
    <w:rsid w:val="00C744A5"/>
    <w:rsid w:val="00C7486B"/>
    <w:rsid w:val="00C7563E"/>
    <w:rsid w:val="00C7581A"/>
    <w:rsid w:val="00C76201"/>
    <w:rsid w:val="00C771C9"/>
    <w:rsid w:val="00C77295"/>
    <w:rsid w:val="00C7732B"/>
    <w:rsid w:val="00C80270"/>
    <w:rsid w:val="00C827C0"/>
    <w:rsid w:val="00C82828"/>
    <w:rsid w:val="00C834BA"/>
    <w:rsid w:val="00C837FC"/>
    <w:rsid w:val="00C83DC8"/>
    <w:rsid w:val="00C86A03"/>
    <w:rsid w:val="00C9084E"/>
    <w:rsid w:val="00C926CF"/>
    <w:rsid w:val="00C94CCB"/>
    <w:rsid w:val="00C9590B"/>
    <w:rsid w:val="00C968B7"/>
    <w:rsid w:val="00C96AC6"/>
    <w:rsid w:val="00C96CDB"/>
    <w:rsid w:val="00C96FC6"/>
    <w:rsid w:val="00C97055"/>
    <w:rsid w:val="00C97F15"/>
    <w:rsid w:val="00CA5FDA"/>
    <w:rsid w:val="00CA7A63"/>
    <w:rsid w:val="00CB20FD"/>
    <w:rsid w:val="00CB31B0"/>
    <w:rsid w:val="00CB40C7"/>
    <w:rsid w:val="00CB467A"/>
    <w:rsid w:val="00CB4D27"/>
    <w:rsid w:val="00CB5EFD"/>
    <w:rsid w:val="00CB6E77"/>
    <w:rsid w:val="00CB7F8B"/>
    <w:rsid w:val="00CC0851"/>
    <w:rsid w:val="00CC0CBD"/>
    <w:rsid w:val="00CC13DD"/>
    <w:rsid w:val="00CC36F5"/>
    <w:rsid w:val="00CC3AB5"/>
    <w:rsid w:val="00CC44E0"/>
    <w:rsid w:val="00CC4E58"/>
    <w:rsid w:val="00CC5590"/>
    <w:rsid w:val="00CC6AF6"/>
    <w:rsid w:val="00CC7107"/>
    <w:rsid w:val="00CD0405"/>
    <w:rsid w:val="00CD1014"/>
    <w:rsid w:val="00CD47EF"/>
    <w:rsid w:val="00CD7C26"/>
    <w:rsid w:val="00CD7F33"/>
    <w:rsid w:val="00CE0D31"/>
    <w:rsid w:val="00CE1AF6"/>
    <w:rsid w:val="00CE2732"/>
    <w:rsid w:val="00CE4BDC"/>
    <w:rsid w:val="00CE520E"/>
    <w:rsid w:val="00CE5A15"/>
    <w:rsid w:val="00CE6B7C"/>
    <w:rsid w:val="00CE71ED"/>
    <w:rsid w:val="00CF033C"/>
    <w:rsid w:val="00CF1747"/>
    <w:rsid w:val="00CF1CBB"/>
    <w:rsid w:val="00CF22DC"/>
    <w:rsid w:val="00CF2397"/>
    <w:rsid w:val="00CF26FF"/>
    <w:rsid w:val="00CF2A52"/>
    <w:rsid w:val="00CF38FB"/>
    <w:rsid w:val="00CF5341"/>
    <w:rsid w:val="00CF571E"/>
    <w:rsid w:val="00CF5D41"/>
    <w:rsid w:val="00CF6221"/>
    <w:rsid w:val="00D004F6"/>
    <w:rsid w:val="00D010F5"/>
    <w:rsid w:val="00D016CE"/>
    <w:rsid w:val="00D02E11"/>
    <w:rsid w:val="00D039EF"/>
    <w:rsid w:val="00D03FF1"/>
    <w:rsid w:val="00D047E7"/>
    <w:rsid w:val="00D04971"/>
    <w:rsid w:val="00D04AFB"/>
    <w:rsid w:val="00D04EFE"/>
    <w:rsid w:val="00D05594"/>
    <w:rsid w:val="00D059F1"/>
    <w:rsid w:val="00D063A0"/>
    <w:rsid w:val="00D06500"/>
    <w:rsid w:val="00D07CE5"/>
    <w:rsid w:val="00D11AA0"/>
    <w:rsid w:val="00D1649C"/>
    <w:rsid w:val="00D204C7"/>
    <w:rsid w:val="00D21914"/>
    <w:rsid w:val="00D223AD"/>
    <w:rsid w:val="00D23DBF"/>
    <w:rsid w:val="00D24E0D"/>
    <w:rsid w:val="00D267E1"/>
    <w:rsid w:val="00D3163C"/>
    <w:rsid w:val="00D320C5"/>
    <w:rsid w:val="00D32DC7"/>
    <w:rsid w:val="00D344DA"/>
    <w:rsid w:val="00D34827"/>
    <w:rsid w:val="00D35B5D"/>
    <w:rsid w:val="00D36F36"/>
    <w:rsid w:val="00D37DFB"/>
    <w:rsid w:val="00D40438"/>
    <w:rsid w:val="00D43D4E"/>
    <w:rsid w:val="00D44128"/>
    <w:rsid w:val="00D4546E"/>
    <w:rsid w:val="00D45643"/>
    <w:rsid w:val="00D459AF"/>
    <w:rsid w:val="00D462FA"/>
    <w:rsid w:val="00D464A0"/>
    <w:rsid w:val="00D464C5"/>
    <w:rsid w:val="00D50DC1"/>
    <w:rsid w:val="00D513DE"/>
    <w:rsid w:val="00D55645"/>
    <w:rsid w:val="00D55B68"/>
    <w:rsid w:val="00D57B6A"/>
    <w:rsid w:val="00D604B9"/>
    <w:rsid w:val="00D6115E"/>
    <w:rsid w:val="00D6219E"/>
    <w:rsid w:val="00D62FCE"/>
    <w:rsid w:val="00D63A05"/>
    <w:rsid w:val="00D63C74"/>
    <w:rsid w:val="00D647B9"/>
    <w:rsid w:val="00D64B0F"/>
    <w:rsid w:val="00D6529E"/>
    <w:rsid w:val="00D65F4B"/>
    <w:rsid w:val="00D70F58"/>
    <w:rsid w:val="00D7191B"/>
    <w:rsid w:val="00D72DC3"/>
    <w:rsid w:val="00D733DF"/>
    <w:rsid w:val="00D74284"/>
    <w:rsid w:val="00D75624"/>
    <w:rsid w:val="00D76D04"/>
    <w:rsid w:val="00D8046F"/>
    <w:rsid w:val="00D87551"/>
    <w:rsid w:val="00D90196"/>
    <w:rsid w:val="00D902E6"/>
    <w:rsid w:val="00D90A48"/>
    <w:rsid w:val="00D94C60"/>
    <w:rsid w:val="00D9762A"/>
    <w:rsid w:val="00DA019C"/>
    <w:rsid w:val="00DA1DFC"/>
    <w:rsid w:val="00DA3F2D"/>
    <w:rsid w:val="00DA6882"/>
    <w:rsid w:val="00DA6A09"/>
    <w:rsid w:val="00DA7E00"/>
    <w:rsid w:val="00DB254F"/>
    <w:rsid w:val="00DB2761"/>
    <w:rsid w:val="00DB2D67"/>
    <w:rsid w:val="00DB501D"/>
    <w:rsid w:val="00DB6411"/>
    <w:rsid w:val="00DB6A90"/>
    <w:rsid w:val="00DC2F3A"/>
    <w:rsid w:val="00DC337B"/>
    <w:rsid w:val="00DC3510"/>
    <w:rsid w:val="00DC4B9A"/>
    <w:rsid w:val="00DC548E"/>
    <w:rsid w:val="00DC5528"/>
    <w:rsid w:val="00DD3333"/>
    <w:rsid w:val="00DD3CD3"/>
    <w:rsid w:val="00DD46AA"/>
    <w:rsid w:val="00DD530B"/>
    <w:rsid w:val="00DD5C2E"/>
    <w:rsid w:val="00DD60E7"/>
    <w:rsid w:val="00DE065F"/>
    <w:rsid w:val="00DE1F01"/>
    <w:rsid w:val="00DE2541"/>
    <w:rsid w:val="00DE55A2"/>
    <w:rsid w:val="00DE5B2E"/>
    <w:rsid w:val="00DE5D27"/>
    <w:rsid w:val="00DE6E09"/>
    <w:rsid w:val="00DF2217"/>
    <w:rsid w:val="00DF25A0"/>
    <w:rsid w:val="00DF4486"/>
    <w:rsid w:val="00DF4D7F"/>
    <w:rsid w:val="00DF5C43"/>
    <w:rsid w:val="00DF6984"/>
    <w:rsid w:val="00DF6C82"/>
    <w:rsid w:val="00E013EA"/>
    <w:rsid w:val="00E01BCD"/>
    <w:rsid w:val="00E04FD2"/>
    <w:rsid w:val="00E04FF4"/>
    <w:rsid w:val="00E06677"/>
    <w:rsid w:val="00E07889"/>
    <w:rsid w:val="00E10738"/>
    <w:rsid w:val="00E10B2B"/>
    <w:rsid w:val="00E12F13"/>
    <w:rsid w:val="00E138FE"/>
    <w:rsid w:val="00E13DA4"/>
    <w:rsid w:val="00E146A0"/>
    <w:rsid w:val="00E16F4C"/>
    <w:rsid w:val="00E17E1F"/>
    <w:rsid w:val="00E2172C"/>
    <w:rsid w:val="00E25028"/>
    <w:rsid w:val="00E26003"/>
    <w:rsid w:val="00E27142"/>
    <w:rsid w:val="00E27C2D"/>
    <w:rsid w:val="00E314EA"/>
    <w:rsid w:val="00E31B4E"/>
    <w:rsid w:val="00E31F75"/>
    <w:rsid w:val="00E322ED"/>
    <w:rsid w:val="00E32610"/>
    <w:rsid w:val="00E3268E"/>
    <w:rsid w:val="00E3279F"/>
    <w:rsid w:val="00E333F9"/>
    <w:rsid w:val="00E34916"/>
    <w:rsid w:val="00E34F00"/>
    <w:rsid w:val="00E37000"/>
    <w:rsid w:val="00E37388"/>
    <w:rsid w:val="00E4181E"/>
    <w:rsid w:val="00E4183C"/>
    <w:rsid w:val="00E42891"/>
    <w:rsid w:val="00E42BFF"/>
    <w:rsid w:val="00E42D23"/>
    <w:rsid w:val="00E45253"/>
    <w:rsid w:val="00E51636"/>
    <w:rsid w:val="00E5319C"/>
    <w:rsid w:val="00E5561F"/>
    <w:rsid w:val="00E5598B"/>
    <w:rsid w:val="00E6057E"/>
    <w:rsid w:val="00E62659"/>
    <w:rsid w:val="00E636B2"/>
    <w:rsid w:val="00E63A3D"/>
    <w:rsid w:val="00E641E8"/>
    <w:rsid w:val="00E6423A"/>
    <w:rsid w:val="00E66512"/>
    <w:rsid w:val="00E6691A"/>
    <w:rsid w:val="00E70B91"/>
    <w:rsid w:val="00E71F93"/>
    <w:rsid w:val="00E7215F"/>
    <w:rsid w:val="00E72B80"/>
    <w:rsid w:val="00E736CB"/>
    <w:rsid w:val="00E73D87"/>
    <w:rsid w:val="00E76E04"/>
    <w:rsid w:val="00E77ED4"/>
    <w:rsid w:val="00E8060B"/>
    <w:rsid w:val="00E81545"/>
    <w:rsid w:val="00E81A35"/>
    <w:rsid w:val="00E832D3"/>
    <w:rsid w:val="00E8574A"/>
    <w:rsid w:val="00E86C20"/>
    <w:rsid w:val="00E8710A"/>
    <w:rsid w:val="00E9252B"/>
    <w:rsid w:val="00E9317D"/>
    <w:rsid w:val="00E9344C"/>
    <w:rsid w:val="00E9380D"/>
    <w:rsid w:val="00E973B7"/>
    <w:rsid w:val="00EA05F9"/>
    <w:rsid w:val="00EA4119"/>
    <w:rsid w:val="00EA4D83"/>
    <w:rsid w:val="00EA666D"/>
    <w:rsid w:val="00EA6D24"/>
    <w:rsid w:val="00EA7DC5"/>
    <w:rsid w:val="00EB0546"/>
    <w:rsid w:val="00EB0CF7"/>
    <w:rsid w:val="00EB48E7"/>
    <w:rsid w:val="00EB6644"/>
    <w:rsid w:val="00EB6A8E"/>
    <w:rsid w:val="00EB7602"/>
    <w:rsid w:val="00EB7ED5"/>
    <w:rsid w:val="00EC00F0"/>
    <w:rsid w:val="00EC33A2"/>
    <w:rsid w:val="00EC3F27"/>
    <w:rsid w:val="00EC432A"/>
    <w:rsid w:val="00EC4F44"/>
    <w:rsid w:val="00EC5FB6"/>
    <w:rsid w:val="00EC602C"/>
    <w:rsid w:val="00ED0115"/>
    <w:rsid w:val="00ED128E"/>
    <w:rsid w:val="00ED5151"/>
    <w:rsid w:val="00ED6339"/>
    <w:rsid w:val="00ED67D3"/>
    <w:rsid w:val="00ED78D9"/>
    <w:rsid w:val="00EE04E1"/>
    <w:rsid w:val="00EE16E1"/>
    <w:rsid w:val="00EE7EC2"/>
    <w:rsid w:val="00EF01CB"/>
    <w:rsid w:val="00EF0782"/>
    <w:rsid w:val="00EF2495"/>
    <w:rsid w:val="00EF4446"/>
    <w:rsid w:val="00EF4999"/>
    <w:rsid w:val="00EF6148"/>
    <w:rsid w:val="00EF628C"/>
    <w:rsid w:val="00EF71B0"/>
    <w:rsid w:val="00EF71FE"/>
    <w:rsid w:val="00F001BD"/>
    <w:rsid w:val="00F00536"/>
    <w:rsid w:val="00F00767"/>
    <w:rsid w:val="00F01554"/>
    <w:rsid w:val="00F040A3"/>
    <w:rsid w:val="00F0567E"/>
    <w:rsid w:val="00F05732"/>
    <w:rsid w:val="00F06E2A"/>
    <w:rsid w:val="00F102D2"/>
    <w:rsid w:val="00F11B38"/>
    <w:rsid w:val="00F127B3"/>
    <w:rsid w:val="00F150F8"/>
    <w:rsid w:val="00F15671"/>
    <w:rsid w:val="00F159C8"/>
    <w:rsid w:val="00F16BF0"/>
    <w:rsid w:val="00F16C6D"/>
    <w:rsid w:val="00F174A3"/>
    <w:rsid w:val="00F2088A"/>
    <w:rsid w:val="00F22E4B"/>
    <w:rsid w:val="00F237E5"/>
    <w:rsid w:val="00F23D18"/>
    <w:rsid w:val="00F25095"/>
    <w:rsid w:val="00F25198"/>
    <w:rsid w:val="00F25DC5"/>
    <w:rsid w:val="00F26068"/>
    <w:rsid w:val="00F263B1"/>
    <w:rsid w:val="00F34631"/>
    <w:rsid w:val="00F36FA1"/>
    <w:rsid w:val="00F37D5D"/>
    <w:rsid w:val="00F47CA8"/>
    <w:rsid w:val="00F501A7"/>
    <w:rsid w:val="00F50C50"/>
    <w:rsid w:val="00F51D2C"/>
    <w:rsid w:val="00F52E67"/>
    <w:rsid w:val="00F530F8"/>
    <w:rsid w:val="00F553BD"/>
    <w:rsid w:val="00F55C35"/>
    <w:rsid w:val="00F57486"/>
    <w:rsid w:val="00F57A4F"/>
    <w:rsid w:val="00F6010B"/>
    <w:rsid w:val="00F6226F"/>
    <w:rsid w:val="00F63F20"/>
    <w:rsid w:val="00F6518B"/>
    <w:rsid w:val="00F6588E"/>
    <w:rsid w:val="00F66361"/>
    <w:rsid w:val="00F667F0"/>
    <w:rsid w:val="00F66A7E"/>
    <w:rsid w:val="00F70751"/>
    <w:rsid w:val="00F715D0"/>
    <w:rsid w:val="00F71856"/>
    <w:rsid w:val="00F72CDA"/>
    <w:rsid w:val="00F72E81"/>
    <w:rsid w:val="00F736D8"/>
    <w:rsid w:val="00F736F6"/>
    <w:rsid w:val="00F741C5"/>
    <w:rsid w:val="00F764B0"/>
    <w:rsid w:val="00F7683A"/>
    <w:rsid w:val="00F77CFE"/>
    <w:rsid w:val="00F80270"/>
    <w:rsid w:val="00F8127D"/>
    <w:rsid w:val="00F817FF"/>
    <w:rsid w:val="00F81F6D"/>
    <w:rsid w:val="00F84BC4"/>
    <w:rsid w:val="00F85CBA"/>
    <w:rsid w:val="00F866DE"/>
    <w:rsid w:val="00F87BE8"/>
    <w:rsid w:val="00F9061A"/>
    <w:rsid w:val="00F90A1B"/>
    <w:rsid w:val="00F933BE"/>
    <w:rsid w:val="00F9436E"/>
    <w:rsid w:val="00F94A1B"/>
    <w:rsid w:val="00F97E42"/>
    <w:rsid w:val="00FA1A34"/>
    <w:rsid w:val="00FA26FE"/>
    <w:rsid w:val="00FA34BD"/>
    <w:rsid w:val="00FA387E"/>
    <w:rsid w:val="00FA4E9F"/>
    <w:rsid w:val="00FA6086"/>
    <w:rsid w:val="00FB2415"/>
    <w:rsid w:val="00FB33AE"/>
    <w:rsid w:val="00FB3699"/>
    <w:rsid w:val="00FB3FCA"/>
    <w:rsid w:val="00FB40BE"/>
    <w:rsid w:val="00FB64C6"/>
    <w:rsid w:val="00FB7616"/>
    <w:rsid w:val="00FB7637"/>
    <w:rsid w:val="00FC1225"/>
    <w:rsid w:val="00FC2B78"/>
    <w:rsid w:val="00FC7402"/>
    <w:rsid w:val="00FD3FD5"/>
    <w:rsid w:val="00FD49A5"/>
    <w:rsid w:val="00FD6916"/>
    <w:rsid w:val="00FD6B24"/>
    <w:rsid w:val="00FD74ED"/>
    <w:rsid w:val="00FE25C0"/>
    <w:rsid w:val="00FE323E"/>
    <w:rsid w:val="00FE41D3"/>
    <w:rsid w:val="00FE55CE"/>
    <w:rsid w:val="00FE7B07"/>
    <w:rsid w:val="00FF376F"/>
    <w:rsid w:val="00FF753F"/>
    <w:rsid w:val="00FF7C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313CA"/>
  <w15:chartTrackingRefBased/>
  <w15:docId w15:val="{93A65983-4978-45D1-AA43-83E3D5591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758"/>
    <w:pPr>
      <w:widowControl w:val="0"/>
    </w:pPr>
  </w:style>
  <w:style w:type="paragraph" w:styleId="1">
    <w:name w:val="heading 1"/>
    <w:basedOn w:val="a"/>
    <w:next w:val="a"/>
    <w:link w:val="10"/>
    <w:qFormat/>
    <w:rsid w:val="002527FD"/>
    <w:pPr>
      <w:keepNext/>
      <w:numPr>
        <w:ilvl w:val="5"/>
        <w:numId w:val="2"/>
      </w:numPr>
      <w:adjustRightInd w:val="0"/>
      <w:spacing w:before="180" w:after="180" w:line="720" w:lineRule="atLeast"/>
      <w:textAlignment w:val="baseline"/>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322E"/>
    <w:pPr>
      <w:tabs>
        <w:tab w:val="center" w:pos="4153"/>
        <w:tab w:val="right" w:pos="8306"/>
      </w:tabs>
      <w:snapToGrid w:val="0"/>
    </w:pPr>
  </w:style>
  <w:style w:type="character" w:customStyle="1" w:styleId="a4">
    <w:name w:val="頁首 字元"/>
    <w:link w:val="a3"/>
    <w:uiPriority w:val="99"/>
    <w:rsid w:val="009A322E"/>
    <w:rPr>
      <w:kern w:val="2"/>
    </w:rPr>
  </w:style>
  <w:style w:type="paragraph" w:styleId="a5">
    <w:name w:val="footer"/>
    <w:basedOn w:val="a"/>
    <w:link w:val="a6"/>
    <w:unhideWhenUsed/>
    <w:rsid w:val="009A322E"/>
    <w:pPr>
      <w:tabs>
        <w:tab w:val="center" w:pos="4153"/>
        <w:tab w:val="right" w:pos="8306"/>
      </w:tabs>
      <w:snapToGrid w:val="0"/>
    </w:pPr>
  </w:style>
  <w:style w:type="character" w:customStyle="1" w:styleId="a6">
    <w:name w:val="頁尾 字元"/>
    <w:link w:val="a5"/>
    <w:rsid w:val="009A322E"/>
    <w:rPr>
      <w:kern w:val="2"/>
    </w:rPr>
  </w:style>
  <w:style w:type="paragraph" w:styleId="HTML">
    <w:name w:val="HTML Preformatted"/>
    <w:basedOn w:val="a"/>
    <w:link w:val="HTML0"/>
    <w:uiPriority w:val="99"/>
    <w:rsid w:val="002527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olor w:val="000000"/>
    </w:rPr>
  </w:style>
  <w:style w:type="character" w:customStyle="1" w:styleId="HTML0">
    <w:name w:val="HTML 預設格式 字元"/>
    <w:link w:val="HTML"/>
    <w:uiPriority w:val="99"/>
    <w:rsid w:val="002527FD"/>
    <w:rPr>
      <w:rFonts w:ascii="細明體" w:eastAsia="細明體" w:hAnsi="Courier New"/>
      <w:color w:val="000000"/>
    </w:rPr>
  </w:style>
  <w:style w:type="character" w:customStyle="1" w:styleId="10">
    <w:name w:val="標題 1 字元"/>
    <w:link w:val="1"/>
    <w:rsid w:val="002527FD"/>
    <w:rPr>
      <w:rFonts w:ascii="Arial" w:hAnsi="Arial"/>
      <w:b/>
      <w:bCs/>
      <w:kern w:val="52"/>
      <w:sz w:val="52"/>
      <w:szCs w:val="52"/>
    </w:rPr>
  </w:style>
  <w:style w:type="paragraph" w:styleId="Web">
    <w:name w:val="Normal (Web)"/>
    <w:basedOn w:val="a"/>
    <w:rsid w:val="00A32D25"/>
    <w:pPr>
      <w:widowControl/>
      <w:spacing w:before="100" w:beforeAutospacing="1" w:after="100" w:afterAutospacing="1"/>
    </w:pPr>
    <w:rPr>
      <w:rFonts w:ascii="新細明體" w:hAnsi="新細明體"/>
      <w:szCs w:val="24"/>
    </w:rPr>
  </w:style>
  <w:style w:type="character" w:styleId="a7">
    <w:name w:val="Hyperlink"/>
    <w:uiPriority w:val="99"/>
    <w:semiHidden/>
    <w:unhideWhenUsed/>
    <w:rsid w:val="00E8710A"/>
    <w:rPr>
      <w:color w:val="003366"/>
      <w:u w:val="single"/>
    </w:rPr>
  </w:style>
  <w:style w:type="paragraph" w:styleId="a8">
    <w:name w:val="List Paragraph"/>
    <w:basedOn w:val="a"/>
    <w:uiPriority w:val="34"/>
    <w:qFormat/>
    <w:rsid w:val="00D40438"/>
    <w:pPr>
      <w:ind w:leftChars="200" w:left="480"/>
    </w:pPr>
  </w:style>
  <w:style w:type="paragraph" w:styleId="a9">
    <w:name w:val="Balloon Text"/>
    <w:basedOn w:val="a"/>
    <w:link w:val="aa"/>
    <w:uiPriority w:val="99"/>
    <w:semiHidden/>
    <w:unhideWhenUsed/>
    <w:rsid w:val="00B95FC6"/>
    <w:rPr>
      <w:rFonts w:ascii="Cambria" w:hAnsi="Cambria"/>
      <w:sz w:val="18"/>
      <w:szCs w:val="18"/>
    </w:rPr>
  </w:style>
  <w:style w:type="character" w:customStyle="1" w:styleId="aa">
    <w:name w:val="註解方塊文字 字元"/>
    <w:link w:val="a9"/>
    <w:uiPriority w:val="99"/>
    <w:semiHidden/>
    <w:rsid w:val="00B95FC6"/>
    <w:rPr>
      <w:rFonts w:ascii="Cambria" w:eastAsia="新細明體" w:hAnsi="Cambria" w:cs="Times New Roman"/>
      <w:kern w:val="2"/>
      <w:sz w:val="18"/>
      <w:szCs w:val="18"/>
    </w:rPr>
  </w:style>
  <w:style w:type="paragraph" w:styleId="ab">
    <w:name w:val="Body Text"/>
    <w:basedOn w:val="a"/>
    <w:link w:val="ac"/>
    <w:rsid w:val="00E07889"/>
    <w:pPr>
      <w:widowControl/>
      <w:jc w:val="both"/>
    </w:pPr>
    <w:rPr>
      <w:rFonts w:ascii="標楷體" w:eastAsia="標楷體" w:hAnsi="標楷體"/>
      <w:szCs w:val="24"/>
    </w:rPr>
  </w:style>
  <w:style w:type="character" w:customStyle="1" w:styleId="ac">
    <w:name w:val="本文 字元"/>
    <w:link w:val="ab"/>
    <w:rsid w:val="00E07889"/>
    <w:rPr>
      <w:rFonts w:ascii="標楷體" w:eastAsia="標楷體" w:hAnsi="標楷體"/>
      <w:szCs w:val="24"/>
    </w:rPr>
  </w:style>
  <w:style w:type="paragraph" w:styleId="ad">
    <w:name w:val="Body Text Indent"/>
    <w:basedOn w:val="a"/>
    <w:link w:val="ae"/>
    <w:rsid w:val="00E07889"/>
    <w:pPr>
      <w:widowControl/>
      <w:ind w:firstLine="540"/>
      <w:jc w:val="both"/>
    </w:pPr>
    <w:rPr>
      <w:rFonts w:ascii="標楷體" w:eastAsia="標楷體" w:hAnsi="標楷體"/>
      <w:szCs w:val="24"/>
    </w:rPr>
  </w:style>
  <w:style w:type="character" w:customStyle="1" w:styleId="ae">
    <w:name w:val="本文縮排 字元"/>
    <w:link w:val="ad"/>
    <w:rsid w:val="00E07889"/>
    <w:rPr>
      <w:rFonts w:ascii="標楷體" w:eastAsia="標楷體" w:hAnsi="標楷體"/>
      <w:szCs w:val="24"/>
    </w:rPr>
  </w:style>
  <w:style w:type="character" w:styleId="af">
    <w:name w:val="annotation reference"/>
    <w:rsid w:val="009635A3"/>
    <w:rPr>
      <w:sz w:val="18"/>
      <w:szCs w:val="18"/>
    </w:rPr>
  </w:style>
  <w:style w:type="paragraph" w:styleId="af0">
    <w:name w:val="annotation text"/>
    <w:basedOn w:val="a"/>
    <w:link w:val="af1"/>
    <w:rsid w:val="009635A3"/>
    <w:rPr>
      <w:rFonts w:ascii="Times New Roman" w:hAnsi="Times New Roman"/>
      <w:szCs w:val="24"/>
    </w:rPr>
  </w:style>
  <w:style w:type="character" w:customStyle="1" w:styleId="af1">
    <w:name w:val="註解文字 字元"/>
    <w:link w:val="af0"/>
    <w:rsid w:val="009635A3"/>
    <w:rPr>
      <w:rFonts w:ascii="Times New Roman" w:hAnsi="Times New Roman"/>
      <w:kern w:val="2"/>
      <w:sz w:val="24"/>
      <w:szCs w:val="24"/>
    </w:rPr>
  </w:style>
  <w:style w:type="paragraph" w:styleId="af2">
    <w:name w:val="annotation subject"/>
    <w:basedOn w:val="af0"/>
    <w:next w:val="af0"/>
    <w:link w:val="af3"/>
    <w:uiPriority w:val="99"/>
    <w:semiHidden/>
    <w:unhideWhenUsed/>
    <w:rsid w:val="009232CF"/>
    <w:rPr>
      <w:rFonts w:ascii="Calibri" w:hAnsi="Calibri"/>
      <w:b/>
      <w:bCs/>
      <w:szCs w:val="22"/>
    </w:rPr>
  </w:style>
  <w:style w:type="character" w:customStyle="1" w:styleId="af3">
    <w:name w:val="註解主旨 字元"/>
    <w:link w:val="af2"/>
    <w:uiPriority w:val="99"/>
    <w:semiHidden/>
    <w:rsid w:val="009232CF"/>
    <w:rPr>
      <w:rFonts w:ascii="Times New Roman" w:hAnsi="Times New Roman"/>
      <w:b/>
      <w:bCs/>
      <w:kern w:val="2"/>
      <w:sz w:val="24"/>
      <w:szCs w:val="22"/>
    </w:rPr>
  </w:style>
  <w:style w:type="paragraph" w:styleId="11">
    <w:name w:val="toc 1"/>
    <w:basedOn w:val="a"/>
    <w:next w:val="a"/>
    <w:autoRedefine/>
    <w:uiPriority w:val="39"/>
    <w:unhideWhenUsed/>
    <w:qFormat/>
    <w:rsid w:val="002E6248"/>
    <w:pPr>
      <w:tabs>
        <w:tab w:val="right" w:leader="dot" w:pos="9628"/>
      </w:tabs>
      <w:spacing w:before="120" w:after="120"/>
      <w:ind w:leftChars="-1" w:left="-1" w:hangingChars="1" w:hanging="2"/>
    </w:pPr>
    <w:rPr>
      <w:rFonts w:cs="Calibri"/>
      <w:b/>
      <w:bCs/>
      <w:caps/>
    </w:rPr>
  </w:style>
  <w:style w:type="paragraph" w:styleId="af4">
    <w:name w:val="Title"/>
    <w:basedOn w:val="a"/>
    <w:next w:val="a"/>
    <w:link w:val="af5"/>
    <w:uiPriority w:val="10"/>
    <w:qFormat/>
    <w:rsid w:val="0071278D"/>
    <w:pPr>
      <w:spacing w:before="240" w:after="60"/>
      <w:jc w:val="center"/>
      <w:outlineLvl w:val="0"/>
    </w:pPr>
    <w:rPr>
      <w:rFonts w:ascii="Calibri Light" w:hAnsi="Calibri Light"/>
      <w:b/>
      <w:bCs/>
      <w:sz w:val="32"/>
      <w:szCs w:val="32"/>
    </w:rPr>
  </w:style>
  <w:style w:type="character" w:customStyle="1" w:styleId="af5">
    <w:name w:val="標題 字元"/>
    <w:link w:val="af4"/>
    <w:uiPriority w:val="10"/>
    <w:rsid w:val="0071278D"/>
    <w:rPr>
      <w:rFonts w:ascii="Calibri Light" w:hAnsi="Calibri Light" w:cs="Times New Roman"/>
      <w:b/>
      <w:bCs/>
      <w:kern w:val="2"/>
      <w:sz w:val="32"/>
      <w:szCs w:val="32"/>
    </w:rPr>
  </w:style>
  <w:style w:type="character" w:customStyle="1" w:styleId="12">
    <w:name w:val="標題1 字元"/>
    <w:link w:val="13"/>
    <w:locked/>
    <w:rsid w:val="008930DD"/>
    <w:rPr>
      <w:rFonts w:ascii="標楷體" w:eastAsia="標楷體" w:hAnsi="標楷體"/>
      <w:b/>
      <w:bCs/>
      <w:kern w:val="52"/>
      <w:sz w:val="32"/>
      <w:szCs w:val="32"/>
      <w:lang w:val="x-none" w:eastAsia="x-none"/>
    </w:rPr>
  </w:style>
  <w:style w:type="paragraph" w:customStyle="1" w:styleId="13">
    <w:name w:val="標題1"/>
    <w:basedOn w:val="a"/>
    <w:link w:val="12"/>
    <w:qFormat/>
    <w:rsid w:val="008930DD"/>
    <w:pPr>
      <w:keepNext/>
      <w:spacing w:line="400" w:lineRule="exact"/>
      <w:jc w:val="center"/>
      <w:outlineLvl w:val="0"/>
    </w:pPr>
    <w:rPr>
      <w:rFonts w:ascii="標楷體" w:eastAsia="標楷體" w:hAnsi="標楷體"/>
      <w:b/>
      <w:bCs/>
      <w:kern w:val="52"/>
      <w:sz w:val="32"/>
      <w:szCs w:val="32"/>
      <w:lang w:val="x-none" w:eastAsia="x-none"/>
    </w:rPr>
  </w:style>
  <w:style w:type="table" w:styleId="af6">
    <w:name w:val="Table Grid"/>
    <w:basedOn w:val="a1"/>
    <w:uiPriority w:val="39"/>
    <w:rsid w:val="00A37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8C44FF"/>
    <w:rPr>
      <w:kern w:val="2"/>
      <w:sz w:val="24"/>
      <w:szCs w:val="22"/>
    </w:rPr>
  </w:style>
  <w:style w:type="paragraph" w:styleId="2">
    <w:name w:val="Body Text Indent 2"/>
    <w:basedOn w:val="a"/>
    <w:link w:val="20"/>
    <w:uiPriority w:val="99"/>
    <w:unhideWhenUsed/>
    <w:rsid w:val="003328D8"/>
    <w:pPr>
      <w:spacing w:after="120" w:line="480" w:lineRule="auto"/>
      <w:ind w:leftChars="200" w:left="480"/>
    </w:pPr>
  </w:style>
  <w:style w:type="character" w:customStyle="1" w:styleId="20">
    <w:name w:val="本文縮排 2 字元"/>
    <w:link w:val="2"/>
    <w:uiPriority w:val="99"/>
    <w:rsid w:val="003328D8"/>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064241">
      <w:bodyDiv w:val="1"/>
      <w:marLeft w:val="0"/>
      <w:marRight w:val="0"/>
      <w:marTop w:val="0"/>
      <w:marBottom w:val="0"/>
      <w:divBdr>
        <w:top w:val="none" w:sz="0" w:space="0" w:color="auto"/>
        <w:left w:val="none" w:sz="0" w:space="0" w:color="auto"/>
        <w:bottom w:val="none" w:sz="0" w:space="0" w:color="auto"/>
        <w:right w:val="none" w:sz="0" w:space="0" w:color="auto"/>
      </w:divBdr>
      <w:divsChild>
        <w:div w:id="584261541">
          <w:marLeft w:val="0"/>
          <w:marRight w:val="0"/>
          <w:marTop w:val="0"/>
          <w:marBottom w:val="0"/>
          <w:divBdr>
            <w:top w:val="none" w:sz="0" w:space="0" w:color="auto"/>
            <w:left w:val="none" w:sz="0" w:space="0" w:color="auto"/>
            <w:bottom w:val="none" w:sz="0" w:space="0" w:color="auto"/>
            <w:right w:val="none" w:sz="0" w:space="0" w:color="auto"/>
          </w:divBdr>
        </w:div>
      </w:divsChild>
    </w:div>
    <w:div w:id="604117538">
      <w:bodyDiv w:val="1"/>
      <w:marLeft w:val="0"/>
      <w:marRight w:val="0"/>
      <w:marTop w:val="0"/>
      <w:marBottom w:val="0"/>
      <w:divBdr>
        <w:top w:val="none" w:sz="0" w:space="0" w:color="auto"/>
        <w:left w:val="none" w:sz="0" w:space="0" w:color="auto"/>
        <w:bottom w:val="none" w:sz="0" w:space="0" w:color="auto"/>
        <w:right w:val="none" w:sz="0" w:space="0" w:color="auto"/>
      </w:divBdr>
    </w:div>
    <w:div w:id="827792879">
      <w:bodyDiv w:val="1"/>
      <w:marLeft w:val="0"/>
      <w:marRight w:val="0"/>
      <w:marTop w:val="0"/>
      <w:marBottom w:val="0"/>
      <w:divBdr>
        <w:top w:val="none" w:sz="0" w:space="0" w:color="auto"/>
        <w:left w:val="none" w:sz="0" w:space="0" w:color="auto"/>
        <w:bottom w:val="none" w:sz="0" w:space="0" w:color="auto"/>
        <w:right w:val="none" w:sz="0" w:space="0" w:color="auto"/>
      </w:divBdr>
    </w:div>
    <w:div w:id="888028608">
      <w:bodyDiv w:val="1"/>
      <w:marLeft w:val="0"/>
      <w:marRight w:val="0"/>
      <w:marTop w:val="0"/>
      <w:marBottom w:val="0"/>
      <w:divBdr>
        <w:top w:val="none" w:sz="0" w:space="0" w:color="auto"/>
        <w:left w:val="none" w:sz="0" w:space="0" w:color="auto"/>
        <w:bottom w:val="none" w:sz="0" w:space="0" w:color="auto"/>
        <w:right w:val="none" w:sz="0" w:space="0" w:color="auto"/>
      </w:divBdr>
    </w:div>
    <w:div w:id="1092165493">
      <w:bodyDiv w:val="1"/>
      <w:marLeft w:val="0"/>
      <w:marRight w:val="0"/>
      <w:marTop w:val="0"/>
      <w:marBottom w:val="0"/>
      <w:divBdr>
        <w:top w:val="none" w:sz="0" w:space="0" w:color="auto"/>
        <w:left w:val="none" w:sz="0" w:space="0" w:color="auto"/>
        <w:bottom w:val="none" w:sz="0" w:space="0" w:color="auto"/>
        <w:right w:val="none" w:sz="0" w:space="0" w:color="auto"/>
      </w:divBdr>
    </w:div>
    <w:div w:id="1562710566">
      <w:bodyDiv w:val="1"/>
      <w:marLeft w:val="0"/>
      <w:marRight w:val="0"/>
      <w:marTop w:val="0"/>
      <w:marBottom w:val="0"/>
      <w:divBdr>
        <w:top w:val="none" w:sz="0" w:space="0" w:color="auto"/>
        <w:left w:val="none" w:sz="0" w:space="0" w:color="auto"/>
        <w:bottom w:val="none" w:sz="0" w:space="0" w:color="auto"/>
        <w:right w:val="none" w:sz="0" w:space="0" w:color="auto"/>
      </w:divBdr>
    </w:div>
    <w:div w:id="1703747732">
      <w:bodyDiv w:val="1"/>
      <w:marLeft w:val="300"/>
      <w:marRight w:val="0"/>
      <w:marTop w:val="0"/>
      <w:marBottom w:val="0"/>
      <w:divBdr>
        <w:top w:val="none" w:sz="0" w:space="0" w:color="auto"/>
        <w:left w:val="none" w:sz="0" w:space="0" w:color="auto"/>
        <w:bottom w:val="none" w:sz="0" w:space="0" w:color="auto"/>
        <w:right w:val="none" w:sz="0" w:space="0" w:color="auto"/>
      </w:divBdr>
    </w:div>
    <w:div w:id="207369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B9D8A7"/>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1B5B0-A5D6-4713-8D02-9EDDF9EF3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700</Words>
  <Characters>3993</Characters>
  <Application>Microsoft Office Word</Application>
  <DocSecurity>0</DocSecurity>
  <Lines>33</Lines>
  <Paragraphs>9</Paragraphs>
  <ScaleCrop>false</ScaleCrop>
  <Company/>
  <LinksUpToDate>false</LinksUpToDate>
  <CharactersWithSpaces>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財團法人中華民國證券櫃檯買賣中心指數股票型基金受益憑證買賣辦法部分條文修正草案條文對照表</dc:title>
  <dc:subject/>
  <dc:creator>LENOVO USER</dc:creator>
  <cp:keywords/>
  <dc:description/>
  <cp:lastModifiedBy>高婉容</cp:lastModifiedBy>
  <cp:revision>4</cp:revision>
  <cp:lastPrinted>2018-11-19T06:21:00Z</cp:lastPrinted>
  <dcterms:created xsi:type="dcterms:W3CDTF">2018-11-20T08:31:00Z</dcterms:created>
  <dcterms:modified xsi:type="dcterms:W3CDTF">2018-11-23T01:33:00Z</dcterms:modified>
</cp:coreProperties>
</file>