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A2" w:rsidRDefault="003F28A2" w:rsidP="003F28A2">
      <w:pPr>
        <w:spacing w:line="360" w:lineRule="auto"/>
        <w:jc w:val="center"/>
        <w:rPr>
          <w:rFonts w:ascii="Times New Roman" w:eastAsia="標楷體" w:hAnsi="標楷體" w:cs="Times New Roman"/>
          <w:sz w:val="28"/>
          <w:szCs w:val="28"/>
        </w:rPr>
      </w:pPr>
      <w:r>
        <w:rPr>
          <w:rFonts w:ascii="Times New Roman" w:eastAsia="標楷體" w:hAnsi="標楷體" w:cs="Times New Roman" w:hint="eastAsia"/>
          <w:sz w:val="28"/>
          <w:szCs w:val="28"/>
        </w:rPr>
        <w:t>美國公債業務推廣座談會</w:t>
      </w:r>
      <w:r w:rsidR="00811943">
        <w:rPr>
          <w:rFonts w:ascii="Times New Roman" w:eastAsia="標楷體" w:hAnsi="標楷體" w:cs="Times New Roman" w:hint="eastAsia"/>
          <w:sz w:val="28"/>
          <w:szCs w:val="28"/>
        </w:rPr>
        <w:t>Q&amp;A</w:t>
      </w:r>
    </w:p>
    <w:p w:rsidR="003F28A2" w:rsidRDefault="003F28A2" w:rsidP="003F28A2">
      <w:pPr>
        <w:spacing w:line="360" w:lineRule="auto"/>
        <w:jc w:val="center"/>
        <w:rPr>
          <w:rFonts w:ascii="Times New Roman" w:eastAsia="標楷體" w:hAnsi="標楷體" w:cs="Times New Roman"/>
          <w:sz w:val="28"/>
          <w:szCs w:val="28"/>
        </w:rPr>
      </w:pPr>
      <w:r>
        <w:rPr>
          <w:rFonts w:ascii="Times New Roman" w:eastAsia="標楷體" w:hAnsi="標楷體" w:cs="Times New Roman" w:hint="eastAsia"/>
          <w:sz w:val="28"/>
          <w:szCs w:val="28"/>
        </w:rPr>
        <w:t>證券商提問回覆及後續辦理情形</w:t>
      </w:r>
    </w:p>
    <w:tbl>
      <w:tblPr>
        <w:tblStyle w:val="a3"/>
        <w:tblW w:w="8330" w:type="dxa"/>
        <w:tblLook w:val="04A0"/>
      </w:tblPr>
      <w:tblGrid>
        <w:gridCol w:w="2943"/>
        <w:gridCol w:w="4111"/>
        <w:gridCol w:w="1276"/>
      </w:tblGrid>
      <w:tr w:rsidR="00CF6342" w:rsidTr="00CF6342">
        <w:tc>
          <w:tcPr>
            <w:tcW w:w="2943" w:type="dxa"/>
            <w:vAlign w:val="center"/>
          </w:tcPr>
          <w:p w:rsidR="00CF6342" w:rsidRPr="00716FB0" w:rsidRDefault="00CF6342" w:rsidP="00681412">
            <w:pPr>
              <w:jc w:val="center"/>
              <w:rPr>
                <w:rFonts w:ascii="標楷體" w:eastAsia="標楷體" w:hAnsi="標楷體" w:cs="Times New Roman"/>
                <w:szCs w:val="24"/>
              </w:rPr>
            </w:pPr>
            <w:r>
              <w:rPr>
                <w:rFonts w:ascii="標楷體" w:eastAsia="標楷體" w:hAnsi="標楷體" w:cs="Times New Roman" w:hint="eastAsia"/>
                <w:szCs w:val="24"/>
              </w:rPr>
              <w:t>提問</w:t>
            </w:r>
          </w:p>
        </w:tc>
        <w:tc>
          <w:tcPr>
            <w:tcW w:w="4111" w:type="dxa"/>
            <w:vAlign w:val="center"/>
          </w:tcPr>
          <w:p w:rsidR="00CF6342" w:rsidRPr="00716FB0" w:rsidRDefault="00CF6342" w:rsidP="00681412">
            <w:pPr>
              <w:jc w:val="center"/>
              <w:rPr>
                <w:rFonts w:ascii="標楷體" w:eastAsia="標楷體" w:hAnsi="標楷體" w:cs="Times New Roman"/>
                <w:szCs w:val="24"/>
              </w:rPr>
            </w:pPr>
            <w:r w:rsidRPr="00716FB0">
              <w:rPr>
                <w:rFonts w:ascii="標楷體" w:eastAsia="標楷體" w:hAnsi="標楷體" w:cs="Times New Roman" w:hint="eastAsia"/>
                <w:szCs w:val="24"/>
              </w:rPr>
              <w:t>回</w:t>
            </w:r>
            <w:r>
              <w:rPr>
                <w:rFonts w:ascii="標楷體" w:eastAsia="標楷體" w:hAnsi="標楷體" w:cs="Times New Roman" w:hint="eastAsia"/>
                <w:szCs w:val="24"/>
              </w:rPr>
              <w:t>覆與後續辦理情形</w:t>
            </w:r>
          </w:p>
        </w:tc>
        <w:tc>
          <w:tcPr>
            <w:tcW w:w="1276" w:type="dxa"/>
            <w:vAlign w:val="center"/>
          </w:tcPr>
          <w:p w:rsidR="00CF6342" w:rsidRPr="00716FB0" w:rsidRDefault="00CF6342" w:rsidP="00681412">
            <w:pPr>
              <w:jc w:val="center"/>
              <w:rPr>
                <w:rFonts w:ascii="標楷體" w:eastAsia="標楷體" w:hAnsi="標楷體" w:cs="Times New Roman"/>
                <w:szCs w:val="24"/>
              </w:rPr>
            </w:pPr>
            <w:r w:rsidRPr="00716FB0">
              <w:rPr>
                <w:rFonts w:ascii="標楷體" w:eastAsia="標楷體" w:hAnsi="標楷體" w:cs="Times New Roman" w:hint="eastAsia"/>
                <w:szCs w:val="24"/>
              </w:rPr>
              <w:t>提問單位</w:t>
            </w:r>
          </w:p>
        </w:tc>
      </w:tr>
      <w:tr w:rsidR="00CF6342" w:rsidTr="00CF6342">
        <w:tc>
          <w:tcPr>
            <w:tcW w:w="2943" w:type="dxa"/>
          </w:tcPr>
          <w:p w:rsidR="00CF6342" w:rsidRPr="00716FB0" w:rsidRDefault="00CF6342" w:rsidP="00CF6342">
            <w:pPr>
              <w:spacing w:line="360" w:lineRule="auto"/>
              <w:ind w:left="283" w:hangingChars="118" w:hanging="283"/>
              <w:rPr>
                <w:rFonts w:ascii="標楷體" w:eastAsia="標楷體" w:hAnsi="標楷體" w:cs="Times New Roman"/>
                <w:szCs w:val="24"/>
              </w:rPr>
            </w:pPr>
            <w:r>
              <w:rPr>
                <w:rFonts w:ascii="標楷體" w:eastAsia="標楷體" w:hAnsi="標楷體" w:hint="eastAsia"/>
                <w:szCs w:val="24"/>
              </w:rPr>
              <w:t>1.</w:t>
            </w:r>
            <w:r w:rsidRPr="00716FB0">
              <w:rPr>
                <w:rFonts w:ascii="標楷體" w:eastAsia="標楷體" w:hAnsi="標楷體"/>
                <w:szCs w:val="24"/>
              </w:rPr>
              <w:t>美債RP交易配</w:t>
            </w:r>
            <w:proofErr w:type="gramStart"/>
            <w:r w:rsidRPr="00716FB0">
              <w:rPr>
                <w:rFonts w:ascii="標楷體" w:eastAsia="標楷體" w:hAnsi="標楷體"/>
                <w:szCs w:val="24"/>
              </w:rPr>
              <w:t>券</w:t>
            </w:r>
            <w:proofErr w:type="gramEnd"/>
            <w:r w:rsidRPr="00716FB0">
              <w:rPr>
                <w:rFonts w:ascii="標楷體" w:eastAsia="標楷體" w:hAnsi="標楷體"/>
                <w:szCs w:val="24"/>
              </w:rPr>
              <w:t>規則是</w:t>
            </w:r>
            <w:r>
              <w:rPr>
                <w:rFonts w:ascii="標楷體" w:eastAsia="標楷體" w:hAnsi="標楷體" w:hint="eastAsia"/>
                <w:szCs w:val="24"/>
              </w:rPr>
              <w:t xml:space="preserve">   </w:t>
            </w:r>
            <w:r w:rsidRPr="00716FB0">
              <w:rPr>
                <w:rFonts w:ascii="標楷體" w:eastAsia="標楷體" w:hAnsi="標楷體"/>
                <w:szCs w:val="24"/>
              </w:rPr>
              <w:t>否須有2%~3%的hair cut</w:t>
            </w:r>
            <w:r>
              <w:rPr>
                <w:rFonts w:ascii="標楷體" w:eastAsia="標楷體" w:hAnsi="標楷體" w:hint="eastAsia"/>
                <w:szCs w:val="24"/>
              </w:rPr>
              <w:t>(扣減率)</w:t>
            </w:r>
            <w:r w:rsidRPr="00716FB0">
              <w:rPr>
                <w:rFonts w:ascii="標楷體" w:eastAsia="標楷體" w:hAnsi="標楷體"/>
                <w:szCs w:val="24"/>
              </w:rPr>
              <w:t>，或者依國內債券RP交易慣例辦理？</w:t>
            </w:r>
          </w:p>
        </w:tc>
        <w:tc>
          <w:tcPr>
            <w:tcW w:w="4111" w:type="dxa"/>
          </w:tcPr>
          <w:p w:rsidR="00CF6342" w:rsidRDefault="00CF6342" w:rsidP="00640BE0">
            <w:pPr>
              <w:spacing w:line="360" w:lineRule="auto"/>
              <w:ind w:leftChars="-50" w:left="120" w:hangingChars="100" w:hanging="240"/>
              <w:rPr>
                <w:rFonts w:ascii="標楷體" w:eastAsia="標楷體" w:hAnsi="標楷體" w:cs="Times New Roman"/>
                <w:szCs w:val="24"/>
              </w:rPr>
            </w:pPr>
            <w:r>
              <w:rPr>
                <w:rFonts w:ascii="標楷體" w:eastAsia="標楷體" w:hAnsi="標楷體" w:cs="Times New Roman" w:hint="eastAsia"/>
                <w:szCs w:val="24"/>
              </w:rPr>
              <w:t>1.境外交易(外國交易市場)：依國際交易慣例辦理。</w:t>
            </w:r>
          </w:p>
          <w:p w:rsidR="00CF6342" w:rsidRPr="00716FB0" w:rsidRDefault="00CF6342" w:rsidP="001B6D03">
            <w:pPr>
              <w:spacing w:line="360" w:lineRule="auto"/>
              <w:ind w:leftChars="-50" w:left="120" w:hangingChars="100" w:hanging="240"/>
              <w:rPr>
                <w:rFonts w:ascii="標楷體" w:eastAsia="標楷體" w:hAnsi="標楷體" w:cs="Times New Roman"/>
                <w:szCs w:val="24"/>
              </w:rPr>
            </w:pPr>
            <w:r>
              <w:rPr>
                <w:rFonts w:ascii="標楷體" w:eastAsia="標楷體" w:hAnsi="標楷體" w:cs="Times New Roman" w:hint="eastAsia"/>
                <w:szCs w:val="24"/>
              </w:rPr>
              <w:t>2.境內交易(證券商營業處所)：依證券商營業處所債券附條件買賣交易細則辦理，</w:t>
            </w:r>
            <w:proofErr w:type="gramStart"/>
            <w:r>
              <w:rPr>
                <w:rFonts w:ascii="標楷體" w:eastAsia="標楷體" w:hAnsi="標楷體" w:cs="Times New Roman" w:hint="eastAsia"/>
                <w:szCs w:val="24"/>
              </w:rPr>
              <w:t>並無扣減</w:t>
            </w:r>
            <w:proofErr w:type="gramEnd"/>
            <w:r>
              <w:rPr>
                <w:rFonts w:ascii="標楷體" w:eastAsia="標楷體" w:hAnsi="標楷體" w:cs="Times New Roman" w:hint="eastAsia"/>
                <w:szCs w:val="24"/>
              </w:rPr>
              <w:t>率之規定。</w:t>
            </w:r>
          </w:p>
        </w:tc>
        <w:tc>
          <w:tcPr>
            <w:tcW w:w="1276" w:type="dxa"/>
          </w:tcPr>
          <w:p w:rsidR="00CF6342" w:rsidRPr="00716FB0" w:rsidRDefault="00CF6342" w:rsidP="00681412">
            <w:pPr>
              <w:spacing w:line="360" w:lineRule="auto"/>
              <w:rPr>
                <w:rFonts w:ascii="標楷體" w:eastAsia="標楷體" w:hAnsi="標楷體" w:cs="Times New Roman"/>
                <w:szCs w:val="24"/>
              </w:rPr>
            </w:pPr>
            <w:r w:rsidRPr="00716FB0">
              <w:rPr>
                <w:rFonts w:ascii="標楷體" w:eastAsia="標楷體" w:hAnsi="標楷體" w:cs="Times New Roman" w:hint="eastAsia"/>
                <w:szCs w:val="24"/>
              </w:rPr>
              <w:t>元富證券</w:t>
            </w:r>
          </w:p>
        </w:tc>
      </w:tr>
      <w:tr w:rsidR="00CF6342" w:rsidTr="00CF6342">
        <w:tc>
          <w:tcPr>
            <w:tcW w:w="2943" w:type="dxa"/>
          </w:tcPr>
          <w:p w:rsidR="00CF6342" w:rsidRDefault="00CF6342" w:rsidP="00CF6342">
            <w:pPr>
              <w:spacing w:line="360" w:lineRule="auto"/>
              <w:ind w:left="283" w:hangingChars="118" w:hanging="283"/>
              <w:rPr>
                <w:rFonts w:ascii="標楷體" w:eastAsia="標楷體" w:hAnsi="標楷體"/>
                <w:szCs w:val="24"/>
              </w:rPr>
            </w:pPr>
            <w:r>
              <w:rPr>
                <w:rFonts w:ascii="標楷體" w:eastAsia="標楷體" w:hAnsi="標楷體" w:hint="eastAsia"/>
                <w:szCs w:val="24"/>
              </w:rPr>
              <w:t>2.是否</w:t>
            </w:r>
            <w:proofErr w:type="gramStart"/>
            <w:r>
              <w:rPr>
                <w:rFonts w:ascii="標楷體" w:eastAsia="標楷體" w:hAnsi="標楷體" w:hint="eastAsia"/>
                <w:szCs w:val="24"/>
              </w:rPr>
              <w:t>能請櫃買</w:t>
            </w:r>
            <w:proofErr w:type="gramEnd"/>
            <w:r>
              <w:rPr>
                <w:rFonts w:ascii="標楷體" w:eastAsia="標楷體" w:hAnsi="標楷體" w:hint="eastAsia"/>
                <w:szCs w:val="24"/>
              </w:rPr>
              <w:t>中心洽詢證券商RP融資額度</w:t>
            </w:r>
            <w:proofErr w:type="gramStart"/>
            <w:r>
              <w:rPr>
                <w:rFonts w:ascii="標楷體" w:eastAsia="標楷體" w:hAnsi="標楷體" w:hint="eastAsia"/>
                <w:szCs w:val="24"/>
              </w:rPr>
              <w:t>採</w:t>
            </w:r>
            <w:proofErr w:type="gramEnd"/>
            <w:r>
              <w:rPr>
                <w:rFonts w:ascii="標楷體" w:eastAsia="標楷體" w:hAnsi="標楷體" w:hint="eastAsia"/>
                <w:szCs w:val="24"/>
              </w:rPr>
              <w:t>集體送件方式申請之可能性?</w:t>
            </w:r>
          </w:p>
        </w:tc>
        <w:tc>
          <w:tcPr>
            <w:tcW w:w="4111" w:type="dxa"/>
          </w:tcPr>
          <w:p w:rsidR="00CF6342" w:rsidRDefault="00CF6342" w:rsidP="001B6D03">
            <w:pPr>
              <w:spacing w:line="360" w:lineRule="auto"/>
              <w:rPr>
                <w:rFonts w:ascii="標楷體" w:eastAsia="標楷體" w:hAnsi="標楷體" w:cs="Times New Roman"/>
                <w:szCs w:val="24"/>
              </w:rPr>
            </w:pPr>
            <w:r>
              <w:rPr>
                <w:rFonts w:ascii="標楷體" w:eastAsia="標楷體" w:hAnsi="標楷體" w:cs="Times New Roman" w:hint="eastAsia"/>
                <w:szCs w:val="24"/>
              </w:rPr>
              <w:t>經洽詢兆豐銀行與摩根大通銀行作業模式，其RP融資額度之提供係依證券商個別信用狀況、往來情形等送徵信部門獨立評估，證券商如有聯繫需求，本中心可代為聯絡。</w:t>
            </w:r>
          </w:p>
        </w:tc>
        <w:tc>
          <w:tcPr>
            <w:tcW w:w="1276" w:type="dxa"/>
          </w:tcPr>
          <w:p w:rsidR="00CF6342" w:rsidRDefault="00CF6342" w:rsidP="00681412">
            <w:pPr>
              <w:spacing w:line="360" w:lineRule="auto"/>
              <w:rPr>
                <w:rFonts w:ascii="標楷體" w:eastAsia="標楷體" w:hAnsi="標楷體" w:cs="Times New Roman"/>
                <w:szCs w:val="24"/>
              </w:rPr>
            </w:pPr>
            <w:r>
              <w:rPr>
                <w:rFonts w:ascii="標楷體" w:eastAsia="標楷體" w:hAnsi="標楷體" w:cs="Times New Roman" w:hint="eastAsia"/>
                <w:szCs w:val="24"/>
              </w:rPr>
              <w:t>元富證券</w:t>
            </w:r>
          </w:p>
        </w:tc>
      </w:tr>
      <w:tr w:rsidR="00CF6342" w:rsidTr="00CF6342">
        <w:tc>
          <w:tcPr>
            <w:tcW w:w="2943" w:type="dxa"/>
          </w:tcPr>
          <w:p w:rsidR="00CF6342" w:rsidRPr="00716FB0" w:rsidRDefault="00CF6342" w:rsidP="00CF6342">
            <w:pPr>
              <w:spacing w:line="360" w:lineRule="auto"/>
              <w:ind w:left="283" w:hangingChars="118" w:hanging="283"/>
              <w:rPr>
                <w:rFonts w:ascii="標楷體" w:eastAsia="標楷體" w:hAnsi="標楷體" w:cs="Times New Roman"/>
                <w:szCs w:val="24"/>
              </w:rPr>
            </w:pPr>
            <w:r>
              <w:rPr>
                <w:rFonts w:ascii="標楷體" w:eastAsia="標楷體" w:hAnsi="標楷體" w:hint="eastAsia"/>
                <w:szCs w:val="24"/>
              </w:rPr>
              <w:t>3.</w:t>
            </w:r>
            <w:r w:rsidRPr="00716FB0">
              <w:rPr>
                <w:rFonts w:ascii="標楷體" w:eastAsia="標楷體" w:hAnsi="標楷體"/>
                <w:szCs w:val="24"/>
              </w:rPr>
              <w:t>有關美債RP交易應如</w:t>
            </w:r>
            <w:r>
              <w:rPr>
                <w:rFonts w:ascii="標楷體" w:eastAsia="標楷體" w:hAnsi="標楷體" w:hint="eastAsia"/>
                <w:szCs w:val="24"/>
              </w:rPr>
              <w:t>何</w:t>
            </w:r>
            <w:r w:rsidRPr="00716FB0">
              <w:rPr>
                <w:rFonts w:ascii="標楷體" w:eastAsia="標楷體" w:hAnsi="標楷體"/>
                <w:szCs w:val="24"/>
              </w:rPr>
              <w:t>區分境內或境外交易？</w:t>
            </w:r>
          </w:p>
        </w:tc>
        <w:tc>
          <w:tcPr>
            <w:tcW w:w="4111" w:type="dxa"/>
          </w:tcPr>
          <w:p w:rsidR="00CF6342" w:rsidRDefault="00CF6342" w:rsidP="00681412">
            <w:pPr>
              <w:spacing w:line="360" w:lineRule="auto"/>
              <w:rPr>
                <w:rFonts w:ascii="標楷體" w:eastAsia="標楷體" w:hAnsi="標楷體" w:cs="Times New Roman"/>
                <w:szCs w:val="24"/>
              </w:rPr>
            </w:pPr>
            <w:r>
              <w:rPr>
                <w:rFonts w:ascii="標楷體" w:eastAsia="標楷體" w:hAnsi="標楷體" w:hint="eastAsia"/>
                <w:szCs w:val="24"/>
              </w:rPr>
              <w:t>1.</w:t>
            </w:r>
            <w:r w:rsidRPr="00B70B9E">
              <w:rPr>
                <w:rFonts w:ascii="標楷體" w:eastAsia="標楷體" w:hAnsi="標楷體" w:hint="eastAsia"/>
                <w:szCs w:val="24"/>
              </w:rPr>
              <w:t>境外交易</w:t>
            </w:r>
            <w:r>
              <w:rPr>
                <w:rFonts w:ascii="標楷體" w:eastAsia="標楷體" w:hAnsi="標楷體" w:cs="Times New Roman" w:hint="eastAsia"/>
                <w:szCs w:val="24"/>
              </w:rPr>
              <w:t>(外國交易市場)：</w:t>
            </w:r>
          </w:p>
          <w:p w:rsidR="00CF6342" w:rsidRPr="001B6D03" w:rsidRDefault="00CF6342" w:rsidP="001B6D03">
            <w:pPr>
              <w:pStyle w:val="a8"/>
              <w:numPr>
                <w:ilvl w:val="0"/>
                <w:numId w:val="1"/>
              </w:numPr>
              <w:spacing w:line="360" w:lineRule="auto"/>
              <w:ind w:leftChars="0"/>
              <w:rPr>
                <w:rFonts w:ascii="標楷體" w:eastAsia="標楷體" w:hAnsi="標楷體"/>
                <w:szCs w:val="24"/>
              </w:rPr>
            </w:pPr>
            <w:r w:rsidRPr="001B6D03">
              <w:rPr>
                <w:rFonts w:ascii="標楷體" w:eastAsia="標楷體" w:hAnsi="標楷體" w:hint="eastAsia"/>
                <w:szCs w:val="24"/>
              </w:rPr>
              <w:t>證券商自行買賣外國有價證券法源依據為證券商管理規則第19條之1</w:t>
            </w:r>
            <w:r>
              <w:rPr>
                <w:rFonts w:ascii="標楷體" w:eastAsia="標楷體" w:hAnsi="標楷體" w:hint="eastAsia"/>
                <w:szCs w:val="24"/>
              </w:rPr>
              <w:t>，須於外國交易市場買賣。</w:t>
            </w:r>
          </w:p>
          <w:p w:rsidR="00CF6342" w:rsidRPr="00B70B9E" w:rsidRDefault="00CF6342" w:rsidP="003F28A2">
            <w:pPr>
              <w:numPr>
                <w:ilvl w:val="0"/>
                <w:numId w:val="1"/>
              </w:numPr>
              <w:spacing w:line="360" w:lineRule="auto"/>
              <w:rPr>
                <w:rFonts w:ascii="標楷體" w:eastAsia="標楷體" w:hAnsi="標楷體"/>
                <w:szCs w:val="24"/>
              </w:rPr>
            </w:pPr>
            <w:r>
              <w:rPr>
                <w:rFonts w:ascii="標楷體" w:eastAsia="標楷體" w:hAnsi="標楷體" w:hint="eastAsia"/>
                <w:szCs w:val="24"/>
              </w:rPr>
              <w:t>證券商應依</w:t>
            </w:r>
            <w:r w:rsidRPr="00B70B9E">
              <w:rPr>
                <w:rFonts w:ascii="標楷體" w:eastAsia="標楷體" w:hAnsi="標楷體" w:hint="eastAsia"/>
                <w:szCs w:val="24"/>
              </w:rPr>
              <w:t>行政院金融監督管理委員會98年8月21日金管證券字第09800415471號令「修正證券商</w:t>
            </w:r>
            <w:r>
              <w:rPr>
                <w:rFonts w:ascii="標楷體" w:eastAsia="標楷體" w:hAnsi="標楷體" w:hint="eastAsia"/>
                <w:szCs w:val="24"/>
              </w:rPr>
              <w:t>自行買賣外國有價證券及從事外國衍生性金融商品避險交易相關規範」及本</w:t>
            </w:r>
            <w:r w:rsidRPr="00B70B9E">
              <w:rPr>
                <w:rFonts w:ascii="標楷體" w:eastAsia="標楷體" w:hAnsi="標楷體" w:hint="eastAsia"/>
                <w:szCs w:val="24"/>
              </w:rPr>
              <w:t>中心「證券商自行買賣外國債券交易辦法」</w:t>
            </w:r>
            <w:r>
              <w:rPr>
                <w:rFonts w:ascii="標楷體" w:eastAsia="標楷體" w:hAnsi="標楷體" w:hint="eastAsia"/>
                <w:szCs w:val="24"/>
              </w:rPr>
              <w:t>等相關規定辦理。</w:t>
            </w:r>
          </w:p>
          <w:p w:rsidR="00CF6342" w:rsidRDefault="00CF6342" w:rsidP="00681412">
            <w:pPr>
              <w:spacing w:line="360" w:lineRule="auto"/>
              <w:rPr>
                <w:rFonts w:ascii="標楷體" w:eastAsia="標楷體" w:hAnsi="標楷體"/>
                <w:szCs w:val="24"/>
              </w:rPr>
            </w:pPr>
            <w:r>
              <w:rPr>
                <w:rFonts w:ascii="標楷體" w:eastAsia="標楷體" w:hAnsi="標楷體" w:hint="eastAsia"/>
                <w:szCs w:val="24"/>
              </w:rPr>
              <w:lastRenderedPageBreak/>
              <w:t>2.</w:t>
            </w:r>
            <w:r w:rsidRPr="00B70B9E">
              <w:rPr>
                <w:rFonts w:ascii="標楷體" w:eastAsia="標楷體" w:hAnsi="標楷體" w:hint="eastAsia"/>
                <w:szCs w:val="24"/>
              </w:rPr>
              <w:t>境內交易</w:t>
            </w:r>
            <w:r>
              <w:rPr>
                <w:rFonts w:ascii="標楷體" w:eastAsia="標楷體" w:hAnsi="標楷體" w:cs="Times New Roman" w:hint="eastAsia"/>
                <w:szCs w:val="24"/>
              </w:rPr>
              <w:t>(證券商營業處所)</w:t>
            </w:r>
            <w:r w:rsidRPr="00B70B9E">
              <w:rPr>
                <w:rFonts w:ascii="標楷體" w:eastAsia="標楷體" w:hAnsi="標楷體" w:hint="eastAsia"/>
                <w:szCs w:val="24"/>
              </w:rPr>
              <w:t>：</w:t>
            </w:r>
          </w:p>
          <w:p w:rsidR="00CF6342" w:rsidRPr="00B70B9E" w:rsidRDefault="00CF6342" w:rsidP="003F28A2">
            <w:pPr>
              <w:numPr>
                <w:ilvl w:val="0"/>
                <w:numId w:val="2"/>
              </w:numPr>
              <w:spacing w:line="360" w:lineRule="auto"/>
              <w:rPr>
                <w:rFonts w:ascii="標楷體" w:eastAsia="標楷體" w:hAnsi="標楷體"/>
                <w:szCs w:val="24"/>
              </w:rPr>
            </w:pPr>
            <w:r w:rsidRPr="00B70B9E">
              <w:rPr>
                <w:rFonts w:ascii="標楷體" w:eastAsia="標楷體" w:hAnsi="標楷體" w:hint="eastAsia"/>
                <w:szCs w:val="24"/>
              </w:rPr>
              <w:t>行政院金融監督管理委員會98年10月29日金管證券字第0980056781號令指定美國財政部發行之各期政府公債得為櫃檯買賣之有價證券。</w:t>
            </w:r>
          </w:p>
          <w:p w:rsidR="00CF6342" w:rsidRPr="00B70B9E" w:rsidRDefault="00CF6342" w:rsidP="003F28A2">
            <w:pPr>
              <w:numPr>
                <w:ilvl w:val="0"/>
                <w:numId w:val="2"/>
              </w:numPr>
              <w:spacing w:line="360" w:lineRule="auto"/>
              <w:rPr>
                <w:rFonts w:ascii="標楷體" w:eastAsia="標楷體" w:hAnsi="標楷體"/>
                <w:szCs w:val="24"/>
              </w:rPr>
            </w:pPr>
            <w:r>
              <w:rPr>
                <w:rFonts w:ascii="標楷體" w:eastAsia="標楷體" w:hAnsi="標楷體" w:hint="eastAsia"/>
                <w:szCs w:val="24"/>
              </w:rPr>
              <w:t>本</w:t>
            </w:r>
            <w:r w:rsidRPr="00B70B9E">
              <w:rPr>
                <w:rFonts w:ascii="標楷體" w:eastAsia="標楷體" w:hAnsi="標楷體" w:hint="eastAsia"/>
                <w:szCs w:val="24"/>
              </w:rPr>
              <w:t>中心98年11月2日</w:t>
            </w:r>
            <w:proofErr w:type="gramStart"/>
            <w:r w:rsidRPr="00B70B9E">
              <w:rPr>
                <w:rFonts w:ascii="標楷體" w:eastAsia="標楷體" w:hAnsi="標楷體" w:hint="eastAsia"/>
                <w:szCs w:val="24"/>
              </w:rPr>
              <w:t>證櫃債字</w:t>
            </w:r>
            <w:proofErr w:type="gramEnd"/>
            <w:r w:rsidRPr="00B70B9E">
              <w:rPr>
                <w:rFonts w:ascii="標楷體" w:eastAsia="標楷體" w:hAnsi="標楷體" w:hint="eastAsia"/>
                <w:szCs w:val="24"/>
              </w:rPr>
              <w:t>第0980400516號公告美國財政部發行之各期政府公債得於證券商營業處所買賣。</w:t>
            </w:r>
          </w:p>
          <w:p w:rsidR="00CF6342" w:rsidRPr="00B70B9E" w:rsidRDefault="00CF6342" w:rsidP="003F28A2">
            <w:pPr>
              <w:numPr>
                <w:ilvl w:val="0"/>
                <w:numId w:val="2"/>
              </w:numPr>
              <w:spacing w:line="360" w:lineRule="auto"/>
              <w:rPr>
                <w:rFonts w:ascii="標楷體" w:eastAsia="標楷體" w:hAnsi="標楷體"/>
                <w:szCs w:val="24"/>
              </w:rPr>
            </w:pPr>
            <w:r w:rsidRPr="00B70B9E">
              <w:rPr>
                <w:rFonts w:ascii="標楷體" w:eastAsia="標楷體" w:hAnsi="標楷體" w:hint="eastAsia"/>
                <w:szCs w:val="24"/>
              </w:rPr>
              <w:t>證券商於營業處所買賣美國公債應依</w:t>
            </w:r>
            <w:r>
              <w:rPr>
                <w:rFonts w:ascii="標楷體" w:eastAsia="標楷體" w:hAnsi="標楷體" w:hint="eastAsia"/>
                <w:szCs w:val="24"/>
              </w:rPr>
              <w:t>本</w:t>
            </w:r>
            <w:r w:rsidRPr="00B70B9E">
              <w:rPr>
                <w:rFonts w:ascii="標楷體" w:eastAsia="標楷體" w:hAnsi="標楷體" w:hint="eastAsia"/>
                <w:szCs w:val="24"/>
              </w:rPr>
              <w:t>中心證券商營業處所買賣有價證券業務規則</w:t>
            </w:r>
            <w:r>
              <w:rPr>
                <w:rFonts w:ascii="標楷體" w:eastAsia="標楷體" w:hAnsi="標楷體" w:hint="eastAsia"/>
                <w:szCs w:val="24"/>
              </w:rPr>
              <w:t>辦理</w:t>
            </w:r>
            <w:r w:rsidRPr="00B70B9E">
              <w:rPr>
                <w:rFonts w:ascii="標楷體" w:eastAsia="標楷體" w:hAnsi="標楷體" w:hint="eastAsia"/>
                <w:szCs w:val="24"/>
              </w:rPr>
              <w:t>。</w:t>
            </w:r>
          </w:p>
          <w:p w:rsidR="00CF6342" w:rsidRPr="00B70B9E" w:rsidRDefault="00CF6342" w:rsidP="00EC1BE3">
            <w:pPr>
              <w:numPr>
                <w:ilvl w:val="0"/>
                <w:numId w:val="2"/>
              </w:numPr>
              <w:spacing w:line="360" w:lineRule="auto"/>
              <w:rPr>
                <w:rFonts w:ascii="標楷體" w:eastAsia="標楷體" w:hAnsi="標楷體"/>
                <w:szCs w:val="24"/>
              </w:rPr>
            </w:pPr>
            <w:r w:rsidRPr="00B70B9E">
              <w:rPr>
                <w:rFonts w:ascii="標楷體" w:eastAsia="標楷體" w:hAnsi="標楷體" w:hint="eastAsia"/>
                <w:szCs w:val="24"/>
              </w:rPr>
              <w:t>證券商於營業處所買賣美國公債交易對象</w:t>
            </w:r>
            <w:r>
              <w:rPr>
                <w:rFonts w:ascii="標楷體" w:eastAsia="標楷體" w:hAnsi="標楷體" w:hint="eastAsia"/>
                <w:szCs w:val="24"/>
              </w:rPr>
              <w:t>亦得為</w:t>
            </w:r>
            <w:r w:rsidRPr="00B70B9E">
              <w:rPr>
                <w:rFonts w:ascii="標楷體" w:eastAsia="標楷體" w:hAnsi="標楷體" w:hint="eastAsia"/>
                <w:szCs w:val="24"/>
              </w:rPr>
              <w:t>外資。</w:t>
            </w:r>
          </w:p>
        </w:tc>
        <w:tc>
          <w:tcPr>
            <w:tcW w:w="1276" w:type="dxa"/>
          </w:tcPr>
          <w:p w:rsidR="00CF6342" w:rsidRPr="00716FB0" w:rsidRDefault="00CF6342" w:rsidP="00681412">
            <w:pPr>
              <w:spacing w:line="360" w:lineRule="auto"/>
              <w:rPr>
                <w:rFonts w:ascii="標楷體" w:eastAsia="標楷體" w:hAnsi="標楷體" w:cs="Times New Roman"/>
                <w:szCs w:val="24"/>
              </w:rPr>
            </w:pPr>
            <w:r>
              <w:rPr>
                <w:rFonts w:ascii="標楷體" w:eastAsia="標楷體" w:hAnsi="標楷體" w:cs="Times New Roman" w:hint="eastAsia"/>
                <w:szCs w:val="24"/>
              </w:rPr>
              <w:lastRenderedPageBreak/>
              <w:t>寶來證券</w:t>
            </w:r>
          </w:p>
        </w:tc>
      </w:tr>
      <w:tr w:rsidR="00CF6342" w:rsidTr="00CF6342">
        <w:tc>
          <w:tcPr>
            <w:tcW w:w="2943" w:type="dxa"/>
          </w:tcPr>
          <w:p w:rsidR="00CF6342" w:rsidRPr="00716FB0" w:rsidRDefault="00CF6342" w:rsidP="00CF6342">
            <w:pPr>
              <w:spacing w:line="360" w:lineRule="auto"/>
              <w:ind w:left="283" w:hangingChars="118" w:hanging="283"/>
              <w:rPr>
                <w:rFonts w:ascii="標楷體" w:eastAsia="標楷體" w:hAnsi="標楷體" w:cs="Times New Roman"/>
                <w:szCs w:val="24"/>
              </w:rPr>
            </w:pPr>
            <w:r>
              <w:rPr>
                <w:rFonts w:ascii="標楷體" w:eastAsia="標楷體" w:hAnsi="標楷體" w:hint="eastAsia"/>
                <w:szCs w:val="24"/>
              </w:rPr>
              <w:lastRenderedPageBreak/>
              <w:t>4.</w:t>
            </w:r>
            <w:r w:rsidRPr="00716FB0">
              <w:rPr>
                <w:rFonts w:ascii="標楷體" w:eastAsia="標楷體" w:hAnsi="標楷體"/>
                <w:szCs w:val="24"/>
              </w:rPr>
              <w:t>是否</w:t>
            </w:r>
            <w:proofErr w:type="gramStart"/>
            <w:r w:rsidRPr="00716FB0">
              <w:rPr>
                <w:rFonts w:ascii="標楷體" w:eastAsia="標楷體" w:hAnsi="標楷體"/>
                <w:szCs w:val="24"/>
              </w:rPr>
              <w:t>可請櫃買</w:t>
            </w:r>
            <w:proofErr w:type="gramEnd"/>
            <w:r w:rsidRPr="00716FB0">
              <w:rPr>
                <w:rFonts w:ascii="標楷體" w:eastAsia="標楷體" w:hAnsi="標楷體"/>
                <w:szCs w:val="24"/>
              </w:rPr>
              <w:t>中心協助詢問證券商能否發行美元計價的商業本票？是否符合央行規定發行人須為實質性需求的規定？</w:t>
            </w:r>
          </w:p>
        </w:tc>
        <w:tc>
          <w:tcPr>
            <w:tcW w:w="4111" w:type="dxa"/>
          </w:tcPr>
          <w:p w:rsidR="00CF6342" w:rsidRDefault="00CF6342" w:rsidP="00640BE0">
            <w:pPr>
              <w:spacing w:line="360" w:lineRule="auto"/>
              <w:ind w:leftChars="-50" w:left="120" w:hangingChars="100" w:hanging="240"/>
              <w:rPr>
                <w:rFonts w:ascii="標楷體" w:eastAsia="標楷體" w:hAnsi="標楷體" w:cs="Times New Roman"/>
                <w:szCs w:val="24"/>
              </w:rPr>
            </w:pPr>
            <w:r>
              <w:rPr>
                <w:rFonts w:ascii="標楷體" w:eastAsia="標楷體" w:hAnsi="標楷體" w:hint="eastAsia"/>
                <w:szCs w:val="24"/>
              </w:rPr>
              <w:t>1.</w:t>
            </w:r>
            <w:r w:rsidRPr="00B70B9E">
              <w:rPr>
                <w:rFonts w:ascii="標楷體" w:eastAsia="標楷體" w:hAnsi="標楷體" w:hint="eastAsia"/>
                <w:szCs w:val="24"/>
              </w:rPr>
              <w:t>發行美元商業本票</w:t>
            </w:r>
            <w:r>
              <w:rPr>
                <w:rFonts w:ascii="標楷體" w:eastAsia="標楷體" w:hAnsi="標楷體" w:hint="eastAsia"/>
                <w:szCs w:val="24"/>
              </w:rPr>
              <w:t>須</w:t>
            </w:r>
            <w:r w:rsidRPr="00B70B9E">
              <w:rPr>
                <w:rFonts w:ascii="標楷體" w:eastAsia="標楷體" w:hAnsi="標楷體" w:hint="eastAsia"/>
                <w:szCs w:val="24"/>
              </w:rPr>
              <w:t>提供外幣實質交易文件，包括</w:t>
            </w:r>
            <w:r w:rsidRPr="00B70B9E">
              <w:rPr>
                <w:rFonts w:ascii="標楷體" w:eastAsia="標楷體" w:hAnsi="標楷體" w:cs="Times New Roman" w:hint="eastAsia"/>
                <w:szCs w:val="24"/>
              </w:rPr>
              <w:t>買賣契約、估價單(</w:t>
            </w:r>
            <w:proofErr w:type="spellStart"/>
            <w:r w:rsidRPr="00B70B9E">
              <w:rPr>
                <w:rFonts w:ascii="標楷體" w:eastAsia="標楷體" w:hAnsi="標楷體" w:cs="Times New Roman" w:hint="eastAsia"/>
                <w:szCs w:val="24"/>
              </w:rPr>
              <w:t>proforma</w:t>
            </w:r>
            <w:proofErr w:type="spellEnd"/>
            <w:r w:rsidRPr="00B70B9E">
              <w:rPr>
                <w:rFonts w:ascii="標楷體" w:eastAsia="標楷體" w:hAnsi="標楷體" w:cs="Times New Roman" w:hint="eastAsia"/>
                <w:szCs w:val="24"/>
              </w:rPr>
              <w:t xml:space="preserve"> invoice)、訂貨單、代銷或銷貨契約、商業發票、送貨簽收單、提貨單、國內外信用狀、約定支付佣金之契約或函件等，或主管機關核准文件，及其他足資證明實際需求之外匯交易文件</w:t>
            </w:r>
            <w:r>
              <w:rPr>
                <w:rFonts w:ascii="標楷體" w:eastAsia="標楷體" w:hAnsi="標楷體" w:cs="Times New Roman" w:hint="eastAsia"/>
                <w:szCs w:val="24"/>
              </w:rPr>
              <w:t>。</w:t>
            </w:r>
          </w:p>
          <w:p w:rsidR="00CF6342" w:rsidRPr="00B70B9E" w:rsidRDefault="00CF6342" w:rsidP="001B6D03">
            <w:pPr>
              <w:spacing w:line="360" w:lineRule="auto"/>
              <w:ind w:leftChars="-50" w:left="120" w:hangingChars="100" w:hanging="240"/>
              <w:rPr>
                <w:rFonts w:ascii="標楷體" w:eastAsia="標楷體" w:hAnsi="標楷體"/>
                <w:szCs w:val="24"/>
              </w:rPr>
            </w:pPr>
            <w:r>
              <w:rPr>
                <w:rFonts w:ascii="標楷體" w:eastAsia="標楷體" w:hAnsi="標楷體" w:cs="Times New Roman" w:hint="eastAsia"/>
                <w:szCs w:val="24"/>
              </w:rPr>
              <w:t>2.</w:t>
            </w:r>
            <w:r w:rsidRPr="00B70B9E">
              <w:rPr>
                <w:rFonts w:ascii="標楷體" w:eastAsia="標楷體" w:hAnsi="標楷體" w:hint="eastAsia"/>
                <w:szCs w:val="24"/>
              </w:rPr>
              <w:t>經</w:t>
            </w:r>
            <w:r>
              <w:rPr>
                <w:rFonts w:ascii="標楷體" w:eastAsia="標楷體" w:hAnsi="標楷體" w:hint="eastAsia"/>
                <w:szCs w:val="24"/>
              </w:rPr>
              <w:t>洽詢</w:t>
            </w:r>
            <w:r w:rsidRPr="00B70B9E">
              <w:rPr>
                <w:rFonts w:ascii="標楷體" w:eastAsia="標楷體" w:hAnsi="標楷體" w:hint="eastAsia"/>
                <w:szCs w:val="24"/>
              </w:rPr>
              <w:t>主管機關，證券商透過發行美元商業本票以購買美國公債屬融資</w:t>
            </w:r>
            <w:r w:rsidRPr="00B70B9E">
              <w:rPr>
                <w:rFonts w:ascii="標楷體" w:eastAsia="標楷體" w:hAnsi="標楷體" w:hint="eastAsia"/>
                <w:szCs w:val="24"/>
              </w:rPr>
              <w:lastRenderedPageBreak/>
              <w:t>性需求，不符合發行人須為實質性需求的規定。</w:t>
            </w:r>
          </w:p>
        </w:tc>
        <w:tc>
          <w:tcPr>
            <w:tcW w:w="1276" w:type="dxa"/>
          </w:tcPr>
          <w:p w:rsidR="00CF6342" w:rsidRPr="00716FB0" w:rsidRDefault="00CF6342" w:rsidP="00681412">
            <w:pPr>
              <w:spacing w:line="360" w:lineRule="auto"/>
              <w:rPr>
                <w:rFonts w:ascii="標楷體" w:eastAsia="標楷體" w:hAnsi="標楷體" w:cs="Times New Roman"/>
                <w:szCs w:val="24"/>
              </w:rPr>
            </w:pPr>
            <w:r>
              <w:rPr>
                <w:rFonts w:ascii="標楷體" w:eastAsia="標楷體" w:hAnsi="標楷體" w:cs="Times New Roman" w:hint="eastAsia"/>
                <w:szCs w:val="24"/>
              </w:rPr>
              <w:lastRenderedPageBreak/>
              <w:t>寶來證券</w:t>
            </w:r>
          </w:p>
        </w:tc>
      </w:tr>
      <w:tr w:rsidR="00CF6342" w:rsidTr="00CF6342">
        <w:tc>
          <w:tcPr>
            <w:tcW w:w="2943" w:type="dxa"/>
          </w:tcPr>
          <w:p w:rsidR="00CF6342" w:rsidRPr="00716FB0" w:rsidRDefault="00CF6342" w:rsidP="00CF6342">
            <w:pPr>
              <w:spacing w:line="360" w:lineRule="auto"/>
              <w:ind w:left="283" w:hangingChars="118" w:hanging="283"/>
              <w:rPr>
                <w:rFonts w:ascii="標楷體" w:eastAsia="標楷體" w:hAnsi="標楷體" w:cs="Times New Roman"/>
                <w:szCs w:val="24"/>
              </w:rPr>
            </w:pPr>
            <w:r>
              <w:rPr>
                <w:rFonts w:ascii="標楷體" w:eastAsia="標楷體" w:hAnsi="標楷體" w:hint="eastAsia"/>
                <w:szCs w:val="24"/>
              </w:rPr>
              <w:lastRenderedPageBreak/>
              <w:t>5.</w:t>
            </w:r>
            <w:r w:rsidRPr="00716FB0">
              <w:rPr>
                <w:rFonts w:ascii="標楷體" w:eastAsia="標楷體" w:hAnsi="標楷體"/>
                <w:szCs w:val="24"/>
              </w:rPr>
              <w:t>兆豐銀行提供同業美債RP融資時須</w:t>
            </w:r>
            <w:proofErr w:type="gramStart"/>
            <w:r w:rsidRPr="00716FB0">
              <w:rPr>
                <w:rFonts w:ascii="標楷體" w:eastAsia="標楷體" w:hAnsi="標楷體"/>
                <w:szCs w:val="24"/>
              </w:rPr>
              <w:t>採</w:t>
            </w:r>
            <w:proofErr w:type="gramEnd"/>
            <w:r w:rsidRPr="00716FB0">
              <w:rPr>
                <w:rFonts w:ascii="標楷體" w:eastAsia="標楷體" w:hAnsi="標楷體"/>
                <w:szCs w:val="24"/>
              </w:rPr>
              <w:t>行DVP交割，是否可與櫃買中心外國公債交易系統之交割款合併淨額結算？</w:t>
            </w:r>
          </w:p>
        </w:tc>
        <w:tc>
          <w:tcPr>
            <w:tcW w:w="4111" w:type="dxa"/>
          </w:tcPr>
          <w:p w:rsidR="00CF6342" w:rsidRDefault="00CF6342" w:rsidP="00640BE0">
            <w:pPr>
              <w:spacing w:line="360" w:lineRule="auto"/>
              <w:ind w:leftChars="-50" w:left="120" w:hangingChars="100" w:hanging="240"/>
              <w:rPr>
                <w:rFonts w:ascii="標楷體" w:eastAsia="標楷體" w:hAnsi="標楷體" w:cs="Times New Roman"/>
                <w:szCs w:val="24"/>
              </w:rPr>
            </w:pPr>
            <w:r>
              <w:rPr>
                <w:rFonts w:ascii="標楷體" w:eastAsia="標楷體" w:hAnsi="標楷體" w:cs="Times New Roman" w:hint="eastAsia"/>
                <w:szCs w:val="24"/>
              </w:rPr>
              <w:t>1.經洽詢兆豐銀行從事美債RP交易須</w:t>
            </w:r>
            <w:proofErr w:type="gramStart"/>
            <w:r>
              <w:rPr>
                <w:rFonts w:ascii="標楷體" w:eastAsia="標楷體" w:hAnsi="標楷體" w:cs="Times New Roman" w:hint="eastAsia"/>
                <w:szCs w:val="24"/>
              </w:rPr>
              <w:t>採</w:t>
            </w:r>
            <w:proofErr w:type="gramEnd"/>
            <w:r>
              <w:rPr>
                <w:rFonts w:ascii="標楷體" w:eastAsia="標楷體" w:hAnsi="標楷體" w:cs="Times New Roman" w:hint="eastAsia"/>
                <w:szCs w:val="24"/>
              </w:rPr>
              <w:t>行DVP交割之要求，係依該行內部管理規範辦理，確保交割安全。</w:t>
            </w:r>
          </w:p>
          <w:p w:rsidR="00CF6342" w:rsidRDefault="00CF6342" w:rsidP="00640BE0">
            <w:pPr>
              <w:spacing w:line="360" w:lineRule="auto"/>
              <w:ind w:leftChars="-50" w:left="120" w:hangingChars="100" w:hanging="240"/>
              <w:rPr>
                <w:rFonts w:ascii="標楷體" w:eastAsia="標楷體" w:hAnsi="標楷體" w:cs="Times New Roman"/>
                <w:szCs w:val="24"/>
              </w:rPr>
            </w:pPr>
            <w:r>
              <w:rPr>
                <w:rFonts w:ascii="標楷體" w:eastAsia="標楷體" w:hAnsi="標楷體" w:cs="Times New Roman" w:hint="eastAsia"/>
                <w:szCs w:val="24"/>
              </w:rPr>
              <w:t>2.國外保管銀行辦理美債DVP交割須</w:t>
            </w:r>
            <w:proofErr w:type="gramStart"/>
            <w:r>
              <w:rPr>
                <w:rFonts w:ascii="標楷體" w:eastAsia="標楷體" w:hAnsi="標楷體" w:cs="Times New Roman" w:hint="eastAsia"/>
                <w:szCs w:val="24"/>
              </w:rPr>
              <w:t>採</w:t>
            </w:r>
            <w:proofErr w:type="gramEnd"/>
            <w:r>
              <w:rPr>
                <w:rFonts w:ascii="標楷體" w:eastAsia="標楷體" w:hAnsi="標楷體" w:cs="Times New Roman" w:hint="eastAsia"/>
                <w:szCs w:val="24"/>
              </w:rPr>
              <w:t>逐筆撥轉，不提供多筆交易淨額交割功能。</w:t>
            </w:r>
          </w:p>
          <w:p w:rsidR="00CF6342" w:rsidRPr="00716FB0" w:rsidRDefault="00CF6342" w:rsidP="006A5DEB">
            <w:pPr>
              <w:spacing w:line="360" w:lineRule="auto"/>
              <w:ind w:leftChars="-50" w:left="120" w:hangingChars="100" w:hanging="240"/>
              <w:rPr>
                <w:rFonts w:ascii="標楷體" w:eastAsia="標楷體" w:hAnsi="標楷體" w:cs="Times New Roman"/>
                <w:szCs w:val="24"/>
              </w:rPr>
            </w:pPr>
            <w:r>
              <w:rPr>
                <w:rFonts w:ascii="標楷體" w:eastAsia="標楷體" w:hAnsi="標楷體" w:cs="Times New Roman" w:hint="eastAsia"/>
                <w:szCs w:val="24"/>
              </w:rPr>
              <w:t>3.本中心外國公債交易系統係經國外保管銀行與ICAP公司辦理DVP交割，因交割時間落差且對象不同，故無法提供合併淨額交割之服務。</w:t>
            </w:r>
          </w:p>
        </w:tc>
        <w:tc>
          <w:tcPr>
            <w:tcW w:w="1276" w:type="dxa"/>
          </w:tcPr>
          <w:p w:rsidR="00CF6342" w:rsidRPr="00716FB0" w:rsidRDefault="00CF6342" w:rsidP="00681412">
            <w:pPr>
              <w:spacing w:line="360" w:lineRule="auto"/>
              <w:rPr>
                <w:rFonts w:ascii="標楷體" w:eastAsia="標楷體" w:hAnsi="標楷體" w:cs="Times New Roman"/>
                <w:szCs w:val="24"/>
              </w:rPr>
            </w:pPr>
            <w:r>
              <w:rPr>
                <w:rFonts w:ascii="標楷體" w:eastAsia="標楷體" w:hAnsi="標楷體" w:cs="Times New Roman" w:hint="eastAsia"/>
                <w:szCs w:val="24"/>
              </w:rPr>
              <w:t>群益證券</w:t>
            </w:r>
          </w:p>
        </w:tc>
      </w:tr>
    </w:tbl>
    <w:p w:rsidR="003F28A2" w:rsidRDefault="003F28A2" w:rsidP="003F28A2">
      <w:pPr>
        <w:rPr>
          <w:rFonts w:ascii="Arial" w:eastAsia="標楷體" w:hAnsi="Arial" w:cs="Arial"/>
          <w:bCs/>
          <w:sz w:val="28"/>
        </w:rPr>
      </w:pPr>
    </w:p>
    <w:p w:rsidR="00533025" w:rsidRDefault="00533025"/>
    <w:sectPr w:rsidR="00533025" w:rsidSect="00C3712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94A" w:rsidRDefault="0061794A" w:rsidP="00640BE0">
      <w:r>
        <w:separator/>
      </w:r>
    </w:p>
  </w:endnote>
  <w:endnote w:type="continuationSeparator" w:id="0">
    <w:p w:rsidR="0061794A" w:rsidRDefault="0061794A" w:rsidP="00640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94A" w:rsidRDefault="0061794A" w:rsidP="00640BE0">
      <w:r>
        <w:separator/>
      </w:r>
    </w:p>
  </w:footnote>
  <w:footnote w:type="continuationSeparator" w:id="0">
    <w:p w:rsidR="0061794A" w:rsidRDefault="0061794A" w:rsidP="00640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A029C"/>
    <w:multiLevelType w:val="hybridMultilevel"/>
    <w:tmpl w:val="69BE34F2"/>
    <w:lvl w:ilvl="0" w:tplc="55D41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5562C2E"/>
    <w:multiLevelType w:val="hybridMultilevel"/>
    <w:tmpl w:val="E760E312"/>
    <w:lvl w:ilvl="0" w:tplc="5260C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28A2"/>
    <w:rsid w:val="0005544F"/>
    <w:rsid w:val="00055D1D"/>
    <w:rsid w:val="00060C25"/>
    <w:rsid w:val="000658BD"/>
    <w:rsid w:val="0007632F"/>
    <w:rsid w:val="000F280C"/>
    <w:rsid w:val="00161F86"/>
    <w:rsid w:val="00192C70"/>
    <w:rsid w:val="001B6D03"/>
    <w:rsid w:val="001C202D"/>
    <w:rsid w:val="0027537B"/>
    <w:rsid w:val="003421EE"/>
    <w:rsid w:val="00355D5C"/>
    <w:rsid w:val="003F1D2C"/>
    <w:rsid w:val="003F28A2"/>
    <w:rsid w:val="00491D99"/>
    <w:rsid w:val="004F068A"/>
    <w:rsid w:val="00533025"/>
    <w:rsid w:val="00533BDE"/>
    <w:rsid w:val="00546C81"/>
    <w:rsid w:val="00586EE1"/>
    <w:rsid w:val="006033A1"/>
    <w:rsid w:val="00611AF8"/>
    <w:rsid w:val="0061794A"/>
    <w:rsid w:val="00633810"/>
    <w:rsid w:val="00640BE0"/>
    <w:rsid w:val="00643124"/>
    <w:rsid w:val="00646009"/>
    <w:rsid w:val="00694E4C"/>
    <w:rsid w:val="006A5DEB"/>
    <w:rsid w:val="00726D4C"/>
    <w:rsid w:val="00753094"/>
    <w:rsid w:val="007952F6"/>
    <w:rsid w:val="007E3F49"/>
    <w:rsid w:val="007F025E"/>
    <w:rsid w:val="00811943"/>
    <w:rsid w:val="00850476"/>
    <w:rsid w:val="00853029"/>
    <w:rsid w:val="008A0323"/>
    <w:rsid w:val="008B6099"/>
    <w:rsid w:val="008D720D"/>
    <w:rsid w:val="008F35B1"/>
    <w:rsid w:val="008F5BC6"/>
    <w:rsid w:val="009A2676"/>
    <w:rsid w:val="009B3112"/>
    <w:rsid w:val="009F40F1"/>
    <w:rsid w:val="00A3530A"/>
    <w:rsid w:val="00A528CB"/>
    <w:rsid w:val="00A752F7"/>
    <w:rsid w:val="00A947C8"/>
    <w:rsid w:val="00AC2306"/>
    <w:rsid w:val="00AD73C8"/>
    <w:rsid w:val="00B07158"/>
    <w:rsid w:val="00B15F5F"/>
    <w:rsid w:val="00CC449E"/>
    <w:rsid w:val="00CF6342"/>
    <w:rsid w:val="00D25699"/>
    <w:rsid w:val="00D263B1"/>
    <w:rsid w:val="00D74D64"/>
    <w:rsid w:val="00D94EAF"/>
    <w:rsid w:val="00D96CEE"/>
    <w:rsid w:val="00E37429"/>
    <w:rsid w:val="00E44840"/>
    <w:rsid w:val="00EB4CA3"/>
    <w:rsid w:val="00EC1BE3"/>
    <w:rsid w:val="00F0453E"/>
    <w:rsid w:val="00FC7E59"/>
    <w:rsid w:val="00FE07E6"/>
    <w:rsid w:val="00FF30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8A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40BE0"/>
    <w:pPr>
      <w:tabs>
        <w:tab w:val="center" w:pos="4153"/>
        <w:tab w:val="right" w:pos="8306"/>
      </w:tabs>
      <w:snapToGrid w:val="0"/>
    </w:pPr>
    <w:rPr>
      <w:sz w:val="20"/>
      <w:szCs w:val="20"/>
    </w:rPr>
  </w:style>
  <w:style w:type="character" w:customStyle="1" w:styleId="a5">
    <w:name w:val="頁首 字元"/>
    <w:basedOn w:val="a0"/>
    <w:link w:val="a4"/>
    <w:uiPriority w:val="99"/>
    <w:semiHidden/>
    <w:rsid w:val="00640BE0"/>
    <w:rPr>
      <w:sz w:val="20"/>
      <w:szCs w:val="20"/>
    </w:rPr>
  </w:style>
  <w:style w:type="paragraph" w:styleId="a6">
    <w:name w:val="footer"/>
    <w:basedOn w:val="a"/>
    <w:link w:val="a7"/>
    <w:uiPriority w:val="99"/>
    <w:semiHidden/>
    <w:unhideWhenUsed/>
    <w:rsid w:val="00640BE0"/>
    <w:pPr>
      <w:tabs>
        <w:tab w:val="center" w:pos="4153"/>
        <w:tab w:val="right" w:pos="8306"/>
      </w:tabs>
      <w:snapToGrid w:val="0"/>
    </w:pPr>
    <w:rPr>
      <w:sz w:val="20"/>
      <w:szCs w:val="20"/>
    </w:rPr>
  </w:style>
  <w:style w:type="character" w:customStyle="1" w:styleId="a7">
    <w:name w:val="頁尾 字元"/>
    <w:basedOn w:val="a0"/>
    <w:link w:val="a6"/>
    <w:uiPriority w:val="99"/>
    <w:semiHidden/>
    <w:rsid w:val="00640BE0"/>
    <w:rPr>
      <w:sz w:val="20"/>
      <w:szCs w:val="20"/>
    </w:rPr>
  </w:style>
  <w:style w:type="paragraph" w:styleId="a8">
    <w:name w:val="List Paragraph"/>
    <w:basedOn w:val="a"/>
    <w:uiPriority w:val="34"/>
    <w:qFormat/>
    <w:rsid w:val="001B6D03"/>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FB0EF-9009-4248-B540-96CF1BBB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cp:lastPrinted>2010-12-01T05:49:00Z</cp:lastPrinted>
  <dcterms:created xsi:type="dcterms:W3CDTF">2010-12-10T03:10:00Z</dcterms:created>
  <dcterms:modified xsi:type="dcterms:W3CDTF">2010-12-10T03:22:00Z</dcterms:modified>
</cp:coreProperties>
</file>