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840" w:rsidRDefault="001F2938">
      <w:pPr>
        <w:spacing w:after="240"/>
        <w:ind w:right="4"/>
        <w:jc w:val="center"/>
        <w:rPr>
          <w:rFonts w:ascii="Arial" w:eastAsia="標楷體" w:hAnsi="Arial" w:hint="eastAsia"/>
          <w:sz w:val="32"/>
        </w:rPr>
      </w:pPr>
      <w:bookmarkStart w:id="0" w:name="_GoBack"/>
      <w:bookmarkEnd w:id="0"/>
      <w:r>
        <w:rPr>
          <w:rFonts w:ascii="Arial" w:eastAsia="標楷體" w:hAnsi="Arial"/>
          <w:noProof/>
          <w:sz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720090" cy="342900"/>
                <wp:effectExtent l="1270" t="0" r="254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840" w:rsidRDefault="00B95840">
                            <w:pPr>
                              <w:pStyle w:val="a9"/>
                              <w:rPr>
                                <w:rFonts w:eastAsia="標楷體" w:hint="eastAsia"/>
                                <w:szCs w:val="24"/>
                              </w:rPr>
                            </w:pPr>
                            <w:r>
                              <w:rPr>
                                <w:rFonts w:eastAsia="標楷體" w:hint="eastAsia"/>
                                <w:szCs w:val="24"/>
                              </w:rPr>
                              <w:t>附件三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56.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" stroked="f">
                <v:textbox inset="0,0,0,0">
                  <w:txbxContent>
                    <w:p w:rsidR="00B95840" w:rsidRDefault="00B95840">
                      <w:pPr>
                        <w:pStyle w:val="a9"/>
                        <w:rPr>
                          <w:rFonts w:eastAsia="標楷體" w:hint="eastAsia"/>
                          <w:szCs w:val="24"/>
                        </w:rPr>
                      </w:pPr>
                      <w:r>
                        <w:rPr>
                          <w:rFonts w:eastAsia="標楷體" w:hint="eastAsia"/>
                          <w:szCs w:val="24"/>
                        </w:rPr>
                        <w:t>附件三</w:t>
                      </w:r>
                    </w:p>
                  </w:txbxContent>
                </v:textbox>
              </v:shape>
            </w:pict>
          </mc:Fallback>
        </mc:AlternateContent>
      </w:r>
      <w:r w:rsidR="00B95840">
        <w:rPr>
          <w:rFonts w:ascii="Arial" w:eastAsia="標楷體" w:hAnsi="Arial" w:hint="eastAsia"/>
          <w:sz w:val="32"/>
        </w:rPr>
        <w:t>股權分散及保管承諾查核表</w:t>
      </w:r>
    </w:p>
    <w:p w:rsidR="00B95840" w:rsidRDefault="00B95840">
      <w:pPr>
        <w:tabs>
          <w:tab w:val="right" w:leader="underscore" w:pos="9072"/>
        </w:tabs>
        <w:spacing w:after="240"/>
        <w:ind w:left="1134"/>
        <w:jc w:val="both"/>
        <w:rPr>
          <w:rFonts w:ascii="Arial" w:eastAsia="標楷體" w:hAnsi="Arial" w:hint="eastAsia"/>
        </w:rPr>
      </w:pPr>
      <w:r>
        <w:rPr>
          <w:rFonts w:ascii="Arial" w:eastAsia="標楷體" w:hAnsi="Arial" w:hint="eastAsia"/>
        </w:rPr>
        <w:t>公司名稱</w:t>
      </w:r>
      <w:r>
        <w:rPr>
          <w:rFonts w:ascii="Arial" w:eastAsia="標楷體" w:hAnsi="Arial" w:hint="eastAsia"/>
        </w:rPr>
        <w:t>(</w:t>
      </w:r>
      <w:r>
        <w:rPr>
          <w:rFonts w:ascii="Arial" w:eastAsia="標楷體" w:hAnsi="Arial" w:hint="eastAsia"/>
        </w:rPr>
        <w:t>中文</w:t>
      </w:r>
      <w:r>
        <w:rPr>
          <w:rFonts w:ascii="Arial" w:eastAsia="標楷體" w:hAnsi="Arial" w:hint="eastAsia"/>
        </w:rPr>
        <w:t>)</w:t>
      </w:r>
      <w:r>
        <w:rPr>
          <w:rFonts w:ascii="Arial" w:eastAsia="標楷體" w:hAnsi="Arial" w:hint="eastAsia"/>
        </w:rPr>
        <w:t>：</w:t>
      </w:r>
      <w:r>
        <w:rPr>
          <w:rFonts w:ascii="Arial" w:eastAsia="標楷體" w:hAnsi="Arial" w:hint="eastAsia"/>
        </w:rPr>
        <w:tab/>
      </w:r>
    </w:p>
    <w:p w:rsidR="00B95840" w:rsidRDefault="00B95840">
      <w:pPr>
        <w:tabs>
          <w:tab w:val="right" w:leader="underscore" w:pos="9072"/>
        </w:tabs>
        <w:spacing w:after="240"/>
        <w:ind w:left="1134"/>
        <w:jc w:val="both"/>
        <w:rPr>
          <w:rFonts w:ascii="Arial" w:eastAsia="標楷體" w:hAnsi="Arial" w:hint="eastAsia"/>
        </w:rPr>
      </w:pPr>
      <w:r>
        <w:rPr>
          <w:rFonts w:ascii="Arial" w:eastAsia="標楷體" w:hAnsi="Arial" w:hint="eastAsia"/>
        </w:rPr>
        <w:t>公司名稱</w:t>
      </w:r>
      <w:r>
        <w:rPr>
          <w:rFonts w:ascii="Arial" w:eastAsia="標楷體" w:hAnsi="Arial" w:hint="eastAsia"/>
        </w:rPr>
        <w:t>(</w:t>
      </w:r>
      <w:r>
        <w:rPr>
          <w:rFonts w:ascii="Arial" w:eastAsia="標楷體" w:hAnsi="Arial" w:hint="eastAsia"/>
        </w:rPr>
        <w:t>英文</w:t>
      </w:r>
      <w:r>
        <w:rPr>
          <w:rFonts w:ascii="Arial" w:eastAsia="標楷體" w:hAnsi="Arial" w:hint="eastAsia"/>
        </w:rPr>
        <w:t>)</w:t>
      </w:r>
      <w:r>
        <w:rPr>
          <w:rFonts w:ascii="Arial" w:eastAsia="標楷體" w:hAnsi="Arial" w:hint="eastAsia"/>
        </w:rPr>
        <w:t>：</w:t>
      </w:r>
      <w:r>
        <w:rPr>
          <w:rFonts w:ascii="Arial" w:eastAsia="標楷體" w:hAnsi="Arial" w:hint="eastAsia"/>
        </w:rPr>
        <w:tab/>
      </w:r>
    </w:p>
    <w:p w:rsidR="00B95840" w:rsidRDefault="00B95840">
      <w:pPr>
        <w:tabs>
          <w:tab w:val="left" w:leader="underscore" w:pos="4820"/>
          <w:tab w:val="right" w:leader="underscore" w:pos="9072"/>
        </w:tabs>
        <w:spacing w:after="240"/>
        <w:ind w:left="1134"/>
        <w:jc w:val="both"/>
        <w:rPr>
          <w:rFonts w:ascii="Arial" w:eastAsia="標楷體" w:hAnsi="Arial" w:hint="eastAsia"/>
        </w:rPr>
      </w:pPr>
      <w:r>
        <w:rPr>
          <w:rFonts w:ascii="Arial" w:eastAsia="標楷體" w:hAnsi="Arial" w:hint="eastAsia"/>
        </w:rPr>
        <w:t>承辦人員：</w:t>
      </w:r>
      <w:r>
        <w:rPr>
          <w:rFonts w:ascii="Arial" w:eastAsia="標楷體" w:hAnsi="Arial" w:hint="eastAsia"/>
        </w:rPr>
        <w:tab/>
      </w:r>
      <w:r>
        <w:rPr>
          <w:rFonts w:ascii="Arial" w:eastAsia="標楷體" w:hAnsi="Arial" w:hint="eastAsia"/>
        </w:rPr>
        <w:t>覆核人員：</w:t>
      </w:r>
      <w:r>
        <w:rPr>
          <w:rFonts w:ascii="Arial" w:eastAsia="標楷體" w:hAnsi="Arial" w:hint="eastAsia"/>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66"/>
        <w:gridCol w:w="1512"/>
        <w:gridCol w:w="3681"/>
        <w:gridCol w:w="1249"/>
      </w:tblGrid>
      <w:tr w:rsidR="00B95840">
        <w:tblPrEx>
          <w:tblCellMar>
            <w:top w:w="0" w:type="dxa"/>
            <w:bottom w:w="0" w:type="dxa"/>
          </w:tblCellMar>
        </w:tblPrEx>
        <w:trPr>
          <w:trHeight w:val="611"/>
          <w:tblHeader/>
        </w:trPr>
        <w:tc>
          <w:tcPr>
            <w:tcW w:w="3766" w:type="dxa"/>
            <w:vAlign w:val="center"/>
          </w:tcPr>
          <w:p w:rsidR="00B95840" w:rsidRDefault="00B95840">
            <w:pPr>
              <w:ind w:left="57" w:right="57"/>
              <w:jc w:val="distribute"/>
              <w:rPr>
                <w:rFonts w:ascii="Arial" w:eastAsia="標楷體" w:hAnsi="Arial" w:hint="eastAsia"/>
              </w:rPr>
            </w:pPr>
            <w:r>
              <w:rPr>
                <w:rFonts w:ascii="Arial" w:eastAsia="標楷體" w:hAnsi="Arial" w:hint="eastAsia"/>
              </w:rPr>
              <w:t>查核事項</w:t>
            </w:r>
          </w:p>
        </w:tc>
        <w:tc>
          <w:tcPr>
            <w:tcW w:w="1512" w:type="dxa"/>
            <w:vAlign w:val="center"/>
          </w:tcPr>
          <w:p w:rsidR="00B95840" w:rsidRDefault="00B95840">
            <w:pPr>
              <w:ind w:left="57" w:right="57"/>
              <w:jc w:val="distribute"/>
              <w:rPr>
                <w:rFonts w:ascii="Arial" w:eastAsia="標楷體" w:hAnsi="Arial" w:hint="eastAsia"/>
              </w:rPr>
            </w:pPr>
            <w:r>
              <w:rPr>
                <w:rFonts w:ascii="Arial" w:eastAsia="標楷體" w:hAnsi="Arial" w:hint="eastAsia"/>
              </w:rPr>
              <w:t>依據條文</w:t>
            </w:r>
          </w:p>
        </w:tc>
        <w:tc>
          <w:tcPr>
            <w:tcW w:w="3681" w:type="dxa"/>
            <w:vAlign w:val="center"/>
          </w:tcPr>
          <w:p w:rsidR="00B95840" w:rsidRDefault="00B95840">
            <w:pPr>
              <w:ind w:left="57" w:right="57"/>
              <w:jc w:val="distribute"/>
              <w:rPr>
                <w:rFonts w:ascii="Arial" w:eastAsia="標楷體" w:hAnsi="Arial" w:hint="eastAsia"/>
              </w:rPr>
            </w:pPr>
            <w:r>
              <w:rPr>
                <w:rFonts w:ascii="Arial" w:eastAsia="標楷體" w:hAnsi="Arial" w:hint="eastAsia"/>
              </w:rPr>
              <w:t>條文（函）內容</w:t>
            </w:r>
          </w:p>
        </w:tc>
        <w:tc>
          <w:tcPr>
            <w:tcW w:w="1249" w:type="dxa"/>
            <w:vAlign w:val="center"/>
          </w:tcPr>
          <w:p w:rsidR="00B95840" w:rsidRDefault="00B95840">
            <w:pPr>
              <w:ind w:left="57" w:right="57"/>
              <w:jc w:val="distribute"/>
              <w:rPr>
                <w:rFonts w:ascii="Arial" w:eastAsia="標楷體" w:hAnsi="Arial" w:hint="eastAsia"/>
              </w:rPr>
            </w:pPr>
            <w:r>
              <w:rPr>
                <w:rFonts w:ascii="Arial" w:eastAsia="標楷體" w:hAnsi="Arial" w:hint="eastAsia"/>
              </w:rPr>
              <w:t>查核結果</w:t>
            </w:r>
          </w:p>
        </w:tc>
      </w:tr>
      <w:tr w:rsidR="00B95840">
        <w:tblPrEx>
          <w:tblCellMar>
            <w:top w:w="0" w:type="dxa"/>
            <w:bottom w:w="0" w:type="dxa"/>
          </w:tblCellMar>
        </w:tblPrEx>
        <w:trPr>
          <w:trHeight w:val="611"/>
        </w:trPr>
        <w:tc>
          <w:tcPr>
            <w:tcW w:w="3766" w:type="dxa"/>
          </w:tcPr>
          <w:p w:rsidR="00360D59" w:rsidRDefault="00B95840" w:rsidP="00360D59">
            <w:pPr>
              <w:numPr>
                <w:ilvl w:val="0"/>
                <w:numId w:val="18"/>
              </w:numPr>
              <w:spacing w:line="320" w:lineRule="exact"/>
              <w:ind w:left="397" w:hanging="397"/>
              <w:jc w:val="both"/>
              <w:rPr>
                <w:rFonts w:ascii="標楷體" w:eastAsia="標楷體" w:hAnsi="Arial"/>
                <w:sz w:val="22"/>
                <w:szCs w:val="22"/>
              </w:rPr>
            </w:pPr>
            <w:r w:rsidRPr="00360D59">
              <w:rPr>
                <w:rFonts w:ascii="標楷體" w:eastAsia="標楷體" w:hAnsi="Arial" w:hint="eastAsia"/>
                <w:sz w:val="22"/>
                <w:szCs w:val="22"/>
              </w:rPr>
              <w:t>預計辦理承銷之股份比率是否符合本中心之規定</w:t>
            </w:r>
          </w:p>
          <w:p w:rsidR="00360D59" w:rsidRDefault="00B95840" w:rsidP="00360D59">
            <w:pPr>
              <w:spacing w:line="320" w:lineRule="exact"/>
              <w:ind w:left="397"/>
              <w:jc w:val="both"/>
              <w:rPr>
                <w:rFonts w:ascii="標楷體" w:eastAsia="標楷體" w:hAnsi="Arial"/>
                <w:sz w:val="22"/>
                <w:szCs w:val="22"/>
              </w:rPr>
            </w:pPr>
            <w:r w:rsidRPr="00360D59">
              <w:rPr>
                <w:rFonts w:ascii="標楷體" w:eastAsia="標楷體" w:hAnsi="Arial" w:hint="eastAsia"/>
                <w:sz w:val="22"/>
                <w:szCs w:val="22"/>
              </w:rPr>
              <w:sym w:font="Wingdings 2" w:char="F06A"/>
            </w:r>
            <w:r w:rsidRPr="00360D59">
              <w:rPr>
                <w:rFonts w:ascii="標楷體" w:eastAsia="標楷體" w:hAnsi="Arial" w:hint="eastAsia"/>
                <w:sz w:val="22"/>
                <w:szCs w:val="22"/>
              </w:rPr>
              <w:t>擬上櫃股數：　　　　股</w:t>
            </w:r>
          </w:p>
          <w:p w:rsidR="00360D59" w:rsidRDefault="00B95840" w:rsidP="00360D59">
            <w:pPr>
              <w:spacing w:line="320" w:lineRule="exact"/>
              <w:ind w:left="397"/>
              <w:jc w:val="both"/>
              <w:rPr>
                <w:rFonts w:ascii="標楷體" w:eastAsia="標楷體" w:hAnsi="Arial"/>
                <w:sz w:val="22"/>
                <w:szCs w:val="22"/>
              </w:rPr>
            </w:pPr>
            <w:r w:rsidRPr="00360D59">
              <w:rPr>
                <w:rFonts w:ascii="標楷體" w:eastAsia="標楷體" w:hAnsi="Arial" w:hint="eastAsia"/>
                <w:sz w:val="22"/>
                <w:szCs w:val="22"/>
              </w:rPr>
              <w:sym w:font="Wingdings 2" w:char="F06B"/>
            </w:r>
            <w:r w:rsidRPr="00360D59">
              <w:rPr>
                <w:rFonts w:ascii="標楷體" w:eastAsia="標楷體" w:hAnsi="Arial" w:hint="eastAsia"/>
                <w:sz w:val="22"/>
                <w:szCs w:val="22"/>
              </w:rPr>
              <w:t>提出公開銷售股份：　　　　股</w:t>
            </w:r>
          </w:p>
          <w:p w:rsidR="00B95840" w:rsidRPr="00360D59" w:rsidRDefault="00B95840" w:rsidP="00360D59">
            <w:pPr>
              <w:spacing w:line="320" w:lineRule="exact"/>
              <w:ind w:left="595"/>
              <w:jc w:val="both"/>
              <w:rPr>
                <w:rFonts w:ascii="標楷體" w:eastAsia="標楷體" w:hAnsi="Arial" w:hint="eastAsia"/>
                <w:sz w:val="22"/>
                <w:szCs w:val="22"/>
              </w:rPr>
            </w:pPr>
            <w:r w:rsidRPr="00360D59">
              <w:rPr>
                <w:rFonts w:ascii="標楷體" w:eastAsia="標楷體" w:hAnsi="Arial" w:hint="eastAsia"/>
                <w:sz w:val="22"/>
                <w:szCs w:val="22"/>
              </w:rPr>
              <w:t xml:space="preserve">公開銷售部份佔擬上櫃股份總數比率：　　　</w:t>
            </w:r>
            <w:r w:rsidR="00360D59" w:rsidRPr="00360D59">
              <w:rPr>
                <w:rFonts w:eastAsia="標楷體"/>
                <w:sz w:val="22"/>
                <w:szCs w:val="22"/>
              </w:rPr>
              <w:t>%</w:t>
            </w:r>
            <w:r w:rsidRPr="00360D59">
              <w:rPr>
                <w:rFonts w:ascii="標楷體" w:eastAsia="標楷體" w:hAnsi="Arial" w:hint="eastAsia"/>
                <w:sz w:val="22"/>
                <w:szCs w:val="22"/>
              </w:rPr>
              <w:t>（若未達規定之比率請於下列說明之）</w:t>
            </w:r>
          </w:p>
          <w:p w:rsidR="00B95840" w:rsidRPr="00360D59" w:rsidRDefault="00B95840" w:rsidP="00360D59">
            <w:pPr>
              <w:spacing w:line="320" w:lineRule="exact"/>
              <w:ind w:leftChars="150" w:left="558" w:hangingChars="90" w:hanging="198"/>
              <w:jc w:val="both"/>
              <w:rPr>
                <w:rFonts w:ascii="標楷體" w:eastAsia="標楷體" w:hAnsi="Arial" w:hint="eastAsia"/>
                <w:sz w:val="22"/>
                <w:szCs w:val="22"/>
              </w:rPr>
            </w:pPr>
            <w:r w:rsidRPr="00360D59">
              <w:rPr>
                <w:rFonts w:ascii="標楷體" w:eastAsia="標楷體" w:hAnsi="Arial" w:hint="eastAsia"/>
                <w:sz w:val="22"/>
                <w:szCs w:val="22"/>
              </w:rPr>
              <w:sym w:font="Wingdings 2" w:char="F06C"/>
            </w:r>
            <w:r w:rsidRPr="00360D59">
              <w:rPr>
                <w:rFonts w:ascii="標楷體" w:eastAsia="標楷體" w:hAnsi="Arial"/>
                <w:sz w:val="22"/>
                <w:szCs w:val="22"/>
              </w:rPr>
              <w:t>得扣除已提</w:t>
            </w:r>
            <w:r w:rsidRPr="00360D59">
              <w:rPr>
                <w:rFonts w:ascii="標楷體" w:eastAsia="標楷體" w:hAnsi="Arial" w:hint="eastAsia"/>
                <w:sz w:val="22"/>
                <w:szCs w:val="22"/>
              </w:rPr>
              <w:t>出</w:t>
            </w:r>
            <w:r w:rsidRPr="00360D59">
              <w:rPr>
                <w:rFonts w:ascii="標楷體" w:eastAsia="標楷體" w:hAnsi="Arial"/>
                <w:sz w:val="22"/>
                <w:szCs w:val="22"/>
              </w:rPr>
              <w:t>供興櫃股票推薦證券商認購之股數</w:t>
            </w:r>
            <w:r w:rsidRPr="00360D59">
              <w:rPr>
                <w:rFonts w:ascii="標楷體" w:eastAsia="標楷體" w:hAnsi="Arial" w:hint="eastAsia"/>
                <w:sz w:val="22"/>
                <w:szCs w:val="22"/>
              </w:rPr>
              <w:t>：          股</w:t>
            </w:r>
          </w:p>
          <w:p w:rsidR="00B95840" w:rsidRPr="00360D59" w:rsidRDefault="00B95840" w:rsidP="00360D59">
            <w:pPr>
              <w:spacing w:line="320" w:lineRule="exact"/>
              <w:ind w:left="567"/>
              <w:jc w:val="both"/>
              <w:rPr>
                <w:rFonts w:ascii="標楷體" w:eastAsia="標楷體" w:hAnsi="Arial" w:hint="eastAsia"/>
                <w:sz w:val="22"/>
                <w:szCs w:val="22"/>
              </w:rPr>
            </w:pPr>
            <w:r w:rsidRPr="00360D59">
              <w:rPr>
                <w:rFonts w:ascii="標楷體" w:eastAsia="標楷體" w:hAnsi="Arial"/>
                <w:sz w:val="22"/>
                <w:szCs w:val="22"/>
              </w:rPr>
              <w:t>扣除之股數</w:t>
            </w:r>
            <w:r w:rsidRPr="00360D59">
              <w:rPr>
                <w:rFonts w:ascii="標楷體" w:eastAsia="標楷體" w:hAnsi="Arial" w:hint="eastAsia"/>
                <w:sz w:val="22"/>
                <w:szCs w:val="22"/>
              </w:rPr>
              <w:t>佔</w:t>
            </w:r>
            <w:r w:rsidRPr="00360D59">
              <w:rPr>
                <w:rFonts w:ascii="標楷體" w:eastAsia="標楷體" w:hAnsi="Arial"/>
                <w:sz w:val="22"/>
                <w:szCs w:val="22"/>
              </w:rPr>
              <w:t>本</w:t>
            </w:r>
            <w:r w:rsidRPr="00360D59">
              <w:rPr>
                <w:rFonts w:ascii="標楷體" w:eastAsia="標楷體" w:hAnsi="Arial" w:hint="eastAsia"/>
                <w:sz w:val="22"/>
                <w:szCs w:val="22"/>
              </w:rPr>
              <w:t>次</w:t>
            </w:r>
            <w:r w:rsidRPr="00360D59">
              <w:rPr>
                <w:rFonts w:ascii="標楷體" w:eastAsia="標楷體" w:hAnsi="Arial"/>
                <w:sz w:val="22"/>
                <w:szCs w:val="22"/>
              </w:rPr>
              <w:t>提出承銷股數</w:t>
            </w:r>
            <w:r w:rsidRPr="00360D59">
              <w:rPr>
                <w:rFonts w:ascii="標楷體" w:eastAsia="標楷體" w:hAnsi="Arial" w:hint="eastAsia"/>
                <w:sz w:val="22"/>
                <w:szCs w:val="22"/>
              </w:rPr>
              <w:t xml:space="preserve">比率：      </w:t>
            </w:r>
            <w:r w:rsidR="00360D59" w:rsidRPr="00360D59">
              <w:rPr>
                <w:rFonts w:eastAsia="標楷體"/>
                <w:sz w:val="22"/>
                <w:szCs w:val="22"/>
              </w:rPr>
              <w:t>%</w:t>
            </w:r>
            <w:r w:rsidRPr="00360D59">
              <w:rPr>
                <w:rFonts w:ascii="標楷體" w:eastAsia="標楷體" w:hAnsi="Arial" w:hint="eastAsia"/>
                <w:sz w:val="22"/>
                <w:szCs w:val="22"/>
              </w:rPr>
              <w:t>≦30％</w:t>
            </w:r>
            <w:r w:rsidRPr="00360D59">
              <w:rPr>
                <w:rFonts w:ascii="標楷體" w:eastAsia="標楷體" w:hAnsi="Arial"/>
                <w:sz w:val="22"/>
                <w:szCs w:val="22"/>
              </w:rPr>
              <w:t>。</w:t>
            </w:r>
          </w:p>
          <w:p w:rsidR="00B95840" w:rsidRPr="00360D59" w:rsidRDefault="00B95840" w:rsidP="00360D59">
            <w:pPr>
              <w:spacing w:line="320" w:lineRule="exact"/>
              <w:ind w:left="567"/>
              <w:jc w:val="both"/>
              <w:rPr>
                <w:rFonts w:ascii="標楷體" w:eastAsia="標楷體" w:hAnsi="Arial" w:hint="eastAsia"/>
                <w:sz w:val="22"/>
                <w:szCs w:val="22"/>
              </w:rPr>
            </w:pPr>
            <w:r w:rsidRPr="00360D59">
              <w:rPr>
                <w:rFonts w:ascii="標楷體" w:eastAsia="標楷體" w:hAnsi="Arial" w:hint="eastAsia"/>
                <w:sz w:val="22"/>
                <w:szCs w:val="22"/>
              </w:rPr>
              <w:t>說明：</w:t>
            </w:r>
          </w:p>
        </w:tc>
        <w:tc>
          <w:tcPr>
            <w:tcW w:w="1512" w:type="dxa"/>
          </w:tcPr>
          <w:p w:rsidR="00B95840" w:rsidRPr="00360D59" w:rsidRDefault="00B95840" w:rsidP="00360D59">
            <w:pPr>
              <w:spacing w:line="320" w:lineRule="exact"/>
              <w:ind w:left="28"/>
              <w:jc w:val="both"/>
              <w:rPr>
                <w:rFonts w:ascii="標楷體" w:eastAsia="標楷體" w:hAnsi="Arial" w:hint="eastAsia"/>
                <w:sz w:val="22"/>
                <w:szCs w:val="22"/>
              </w:rPr>
            </w:pPr>
            <w:r w:rsidRPr="00360D59">
              <w:rPr>
                <w:rFonts w:ascii="標楷體" w:eastAsia="標楷體" w:hAnsi="Arial" w:hint="eastAsia"/>
                <w:sz w:val="22"/>
                <w:szCs w:val="22"/>
              </w:rPr>
              <w:t>本中心外國有價證券櫃檯買賣審查準則第六條及第七條</w:t>
            </w:r>
          </w:p>
        </w:tc>
        <w:tc>
          <w:tcPr>
            <w:tcW w:w="3681" w:type="dxa"/>
          </w:tcPr>
          <w:p w:rsidR="00360D59" w:rsidRDefault="00E6056C" w:rsidP="00360D59">
            <w:pPr>
              <w:pStyle w:val="a7"/>
              <w:numPr>
                <w:ilvl w:val="0"/>
                <w:numId w:val="20"/>
              </w:numPr>
              <w:spacing w:line="320" w:lineRule="exact"/>
              <w:ind w:left="482" w:hanging="482"/>
              <w:jc w:val="both"/>
              <w:rPr>
                <w:rFonts w:ascii="標楷體" w:eastAsia="標楷體"/>
                <w:sz w:val="22"/>
                <w:szCs w:val="22"/>
              </w:rPr>
            </w:pPr>
            <w:r w:rsidRPr="00360D59">
              <w:rPr>
                <w:rFonts w:ascii="標楷體" w:eastAsia="標楷體" w:hint="eastAsia"/>
                <w:sz w:val="22"/>
                <w:szCs w:val="22"/>
              </w:rPr>
              <w:t>外國發行人初次申請股票櫃檯買賣者，應提出擬上櫃股份總數一定比率之現金增資新股，且於扣除依章程規定保留供員工承購之股數後，全數委託第四條第一項第九款之推薦證券商辦理上櫃前公開銷售。</w:t>
            </w:r>
          </w:p>
          <w:p w:rsidR="00E6056C" w:rsidRPr="00360D59" w:rsidRDefault="00E6056C" w:rsidP="00360D59">
            <w:pPr>
              <w:pStyle w:val="a7"/>
              <w:spacing w:line="320" w:lineRule="exact"/>
              <w:ind w:left="482" w:firstLineChars="200" w:firstLine="440"/>
              <w:jc w:val="both"/>
              <w:rPr>
                <w:rFonts w:ascii="標楷體" w:eastAsia="標楷體" w:hint="eastAsia"/>
                <w:sz w:val="22"/>
                <w:szCs w:val="22"/>
              </w:rPr>
            </w:pPr>
            <w:r w:rsidRPr="00360D59">
              <w:rPr>
                <w:rFonts w:ascii="標楷體" w:eastAsia="標楷體" w:hint="eastAsia"/>
                <w:sz w:val="22"/>
                <w:szCs w:val="22"/>
              </w:rPr>
              <w:t>外國發行人得以已發行之股票作為推薦證券商穩定承銷價格之過額配售，此部分亦屬辦理上櫃前公開銷售之一部分。</w:t>
            </w:r>
          </w:p>
          <w:p w:rsidR="00E6056C" w:rsidRPr="00360D59" w:rsidRDefault="00E6056C" w:rsidP="00360D59">
            <w:pPr>
              <w:pStyle w:val="a7"/>
              <w:spacing w:line="320" w:lineRule="exact"/>
              <w:ind w:left="482" w:firstLineChars="200" w:firstLine="440"/>
              <w:jc w:val="both"/>
              <w:rPr>
                <w:rFonts w:ascii="標楷體" w:eastAsia="標楷體"/>
                <w:sz w:val="22"/>
                <w:szCs w:val="22"/>
              </w:rPr>
            </w:pPr>
            <w:r w:rsidRPr="00360D59">
              <w:rPr>
                <w:rFonts w:ascii="標楷體" w:eastAsia="標楷體" w:hint="eastAsia"/>
                <w:sz w:val="22"/>
                <w:szCs w:val="22"/>
              </w:rPr>
              <w:t>第一項保留供員工承購之股數不得逾發行新股總數之百分之十五。</w:t>
            </w:r>
          </w:p>
          <w:p w:rsidR="00B95840" w:rsidRPr="00360D59" w:rsidRDefault="00B95840" w:rsidP="00360D59">
            <w:pPr>
              <w:pStyle w:val="a7"/>
              <w:numPr>
                <w:ilvl w:val="0"/>
                <w:numId w:val="20"/>
              </w:numPr>
              <w:spacing w:line="320" w:lineRule="exact"/>
              <w:ind w:left="482" w:hanging="482"/>
              <w:jc w:val="both"/>
              <w:rPr>
                <w:rFonts w:ascii="標楷體" w:eastAsia="標楷體" w:hint="eastAsia"/>
                <w:sz w:val="22"/>
                <w:szCs w:val="22"/>
              </w:rPr>
            </w:pPr>
            <w:r w:rsidRPr="00360D59">
              <w:rPr>
                <w:rFonts w:ascii="標楷體" w:eastAsia="標楷體" w:hint="eastAsia"/>
                <w:sz w:val="22"/>
                <w:szCs w:val="22"/>
              </w:rPr>
              <w:t>外國發行人初次申請股票櫃檯買賣時，應至少提出</w:t>
            </w:r>
            <w:r w:rsidRPr="00360D59">
              <w:rPr>
                <w:rFonts w:ascii="標楷體" w:eastAsia="標楷體"/>
                <w:sz w:val="22"/>
                <w:szCs w:val="22"/>
              </w:rPr>
              <w:t>擬上</w:t>
            </w:r>
            <w:r w:rsidRPr="00360D59">
              <w:rPr>
                <w:rFonts w:ascii="標楷體" w:eastAsia="標楷體" w:hint="eastAsia"/>
                <w:sz w:val="22"/>
                <w:szCs w:val="22"/>
              </w:rPr>
              <w:t>櫃股份總額百分之十以上股份委託推薦證券商辦理承銷，但依該比率計算之</w:t>
            </w:r>
            <w:r w:rsidRPr="00360D59">
              <w:rPr>
                <w:rFonts w:ascii="標楷體" w:eastAsia="標楷體"/>
                <w:sz w:val="22"/>
                <w:szCs w:val="22"/>
              </w:rPr>
              <w:t>承銷</w:t>
            </w:r>
            <w:r w:rsidRPr="00360D59">
              <w:rPr>
                <w:rFonts w:ascii="標楷體" w:eastAsia="標楷體" w:hint="eastAsia"/>
                <w:sz w:val="22"/>
                <w:szCs w:val="22"/>
              </w:rPr>
              <w:t>股數如未達一百</w:t>
            </w:r>
            <w:r w:rsidRPr="00360D59">
              <w:rPr>
                <w:rFonts w:ascii="標楷體" w:eastAsia="標楷體"/>
                <w:sz w:val="22"/>
                <w:szCs w:val="22"/>
              </w:rPr>
              <w:t>萬股</w:t>
            </w:r>
            <w:r w:rsidRPr="00360D59">
              <w:rPr>
                <w:rFonts w:ascii="標楷體" w:eastAsia="標楷體" w:hint="eastAsia"/>
                <w:sz w:val="22"/>
                <w:szCs w:val="22"/>
              </w:rPr>
              <w:t>者，以不低於一百</w:t>
            </w:r>
            <w:r w:rsidRPr="00360D59">
              <w:rPr>
                <w:rFonts w:ascii="標楷體" w:eastAsia="標楷體"/>
                <w:sz w:val="22"/>
                <w:szCs w:val="22"/>
              </w:rPr>
              <w:t>萬股</w:t>
            </w:r>
            <w:r w:rsidRPr="00360D59">
              <w:rPr>
                <w:rFonts w:ascii="標楷體" w:eastAsia="標楷體" w:hint="eastAsia"/>
                <w:sz w:val="22"/>
                <w:szCs w:val="22"/>
              </w:rPr>
              <w:t>之股數辦理</w:t>
            </w:r>
            <w:r w:rsidRPr="00360D59">
              <w:rPr>
                <w:rFonts w:ascii="標楷體" w:eastAsia="標楷體"/>
                <w:sz w:val="22"/>
                <w:szCs w:val="22"/>
              </w:rPr>
              <w:t>承銷</w:t>
            </w:r>
            <w:r w:rsidRPr="00360D59">
              <w:rPr>
                <w:rFonts w:ascii="標楷體" w:eastAsia="標楷體" w:hint="eastAsia"/>
                <w:sz w:val="22"/>
                <w:szCs w:val="22"/>
              </w:rPr>
              <w:t>；依該比率計算之</w:t>
            </w:r>
            <w:r w:rsidRPr="00360D59">
              <w:rPr>
                <w:rFonts w:ascii="標楷體" w:eastAsia="標楷體"/>
                <w:sz w:val="22"/>
                <w:szCs w:val="22"/>
              </w:rPr>
              <w:t>承銷</w:t>
            </w:r>
            <w:r w:rsidRPr="00360D59">
              <w:rPr>
                <w:rFonts w:ascii="標楷體" w:eastAsia="標楷體" w:hint="eastAsia"/>
                <w:sz w:val="22"/>
                <w:szCs w:val="22"/>
              </w:rPr>
              <w:t>股數如</w:t>
            </w:r>
            <w:r w:rsidRPr="00360D59">
              <w:rPr>
                <w:rFonts w:ascii="標楷體" w:eastAsia="標楷體"/>
                <w:sz w:val="22"/>
                <w:szCs w:val="22"/>
              </w:rPr>
              <w:t>超過</w:t>
            </w:r>
            <w:r w:rsidRPr="00360D59">
              <w:rPr>
                <w:rFonts w:ascii="標楷體" w:eastAsia="標楷體" w:hint="eastAsia"/>
                <w:sz w:val="22"/>
                <w:szCs w:val="22"/>
              </w:rPr>
              <w:t>一</w:t>
            </w:r>
            <w:r w:rsidRPr="00360D59">
              <w:rPr>
                <w:rFonts w:ascii="標楷體" w:eastAsia="標楷體"/>
                <w:sz w:val="22"/>
                <w:szCs w:val="22"/>
              </w:rPr>
              <w:t>千萬股</w:t>
            </w:r>
            <w:r w:rsidRPr="00360D59">
              <w:rPr>
                <w:rFonts w:ascii="標楷體" w:eastAsia="標楷體" w:hint="eastAsia"/>
                <w:sz w:val="22"/>
                <w:szCs w:val="22"/>
              </w:rPr>
              <w:t>以上者，以不低於一</w:t>
            </w:r>
            <w:r w:rsidRPr="00360D59">
              <w:rPr>
                <w:rFonts w:ascii="標楷體" w:eastAsia="標楷體"/>
                <w:sz w:val="22"/>
                <w:szCs w:val="22"/>
              </w:rPr>
              <w:t>千萬股</w:t>
            </w:r>
            <w:r w:rsidRPr="00360D59">
              <w:rPr>
                <w:rFonts w:ascii="標楷體" w:eastAsia="標楷體" w:hint="eastAsia"/>
                <w:sz w:val="22"/>
                <w:szCs w:val="22"/>
              </w:rPr>
              <w:t>之股數辦理</w:t>
            </w:r>
            <w:r w:rsidRPr="00360D59">
              <w:rPr>
                <w:rFonts w:ascii="標楷體" w:eastAsia="標楷體"/>
                <w:sz w:val="22"/>
                <w:szCs w:val="22"/>
              </w:rPr>
              <w:t>承銷</w:t>
            </w:r>
            <w:r w:rsidRPr="00360D59">
              <w:rPr>
                <w:rFonts w:ascii="標楷體" w:eastAsia="標楷體" w:hint="eastAsia"/>
                <w:sz w:val="22"/>
                <w:szCs w:val="22"/>
              </w:rPr>
              <w:t>。</w:t>
            </w:r>
          </w:p>
          <w:p w:rsidR="00B95840" w:rsidRPr="00360D59" w:rsidRDefault="00B95840" w:rsidP="00360D59">
            <w:pPr>
              <w:pStyle w:val="a7"/>
              <w:spacing w:line="320" w:lineRule="exact"/>
              <w:ind w:left="482" w:firstLineChars="200" w:firstLine="440"/>
              <w:jc w:val="both"/>
              <w:rPr>
                <w:rFonts w:ascii="標楷體" w:eastAsia="標楷體" w:hint="eastAsia"/>
                <w:sz w:val="22"/>
                <w:szCs w:val="22"/>
              </w:rPr>
            </w:pPr>
            <w:r w:rsidRPr="00360D59">
              <w:rPr>
                <w:rFonts w:ascii="標楷體" w:eastAsia="標楷體" w:hint="eastAsia"/>
                <w:sz w:val="22"/>
                <w:szCs w:val="22"/>
              </w:rPr>
              <w:t>提撥辦理承銷之股票以發行之普通股為限。</w:t>
            </w:r>
          </w:p>
          <w:p w:rsidR="00B95840" w:rsidRPr="00360D59" w:rsidRDefault="00B95840" w:rsidP="00360D59">
            <w:pPr>
              <w:pStyle w:val="a7"/>
              <w:spacing w:line="320" w:lineRule="exact"/>
              <w:ind w:left="482" w:firstLineChars="200" w:firstLine="440"/>
              <w:jc w:val="both"/>
              <w:rPr>
                <w:rFonts w:ascii="標楷體" w:eastAsia="標楷體" w:hAnsi="Arial" w:hint="eastAsia"/>
                <w:sz w:val="22"/>
                <w:szCs w:val="22"/>
              </w:rPr>
            </w:pPr>
            <w:r w:rsidRPr="00360D59">
              <w:rPr>
                <w:rFonts w:ascii="標楷體" w:eastAsia="標楷體" w:hint="eastAsia"/>
                <w:sz w:val="22"/>
                <w:szCs w:val="22"/>
              </w:rPr>
              <w:t>外國發行人開始為興櫃股票櫃檯買賣未滿二年者，依本規定提出承銷之股數，得扣除其前已依法提出供興櫃股票推薦證券商認購之股數；但扣除之股數不得逾依本規定提出承銷之股數之百分之三十。</w:t>
            </w:r>
          </w:p>
        </w:tc>
        <w:tc>
          <w:tcPr>
            <w:tcW w:w="1249" w:type="dxa"/>
          </w:tcPr>
          <w:p w:rsidR="00B95840" w:rsidRPr="00360D59" w:rsidRDefault="00B95840" w:rsidP="00360D59">
            <w:pPr>
              <w:spacing w:line="320" w:lineRule="exact"/>
              <w:ind w:left="57"/>
              <w:jc w:val="center"/>
              <w:rPr>
                <w:rFonts w:ascii="標楷體" w:eastAsia="標楷體" w:hAnsi="Arial" w:hint="eastAsia"/>
                <w:sz w:val="22"/>
                <w:szCs w:val="22"/>
              </w:rPr>
            </w:pPr>
            <w:r w:rsidRPr="00360D59">
              <w:rPr>
                <w:rFonts w:ascii="標楷體" w:eastAsia="標楷體" w:hAnsi="Arial" w:hint="eastAsia"/>
                <w:sz w:val="22"/>
                <w:szCs w:val="22"/>
              </w:rPr>
              <w:t>□是 □否</w:t>
            </w:r>
          </w:p>
        </w:tc>
      </w:tr>
      <w:tr w:rsidR="00B95840">
        <w:tblPrEx>
          <w:tblCellMar>
            <w:top w:w="0" w:type="dxa"/>
            <w:bottom w:w="0" w:type="dxa"/>
          </w:tblCellMar>
        </w:tblPrEx>
        <w:trPr>
          <w:trHeight w:val="611"/>
        </w:trPr>
        <w:tc>
          <w:tcPr>
            <w:tcW w:w="3766" w:type="dxa"/>
          </w:tcPr>
          <w:p w:rsidR="00B95840" w:rsidRPr="00360D59" w:rsidRDefault="00B95840" w:rsidP="00360D59">
            <w:pPr>
              <w:numPr>
                <w:ilvl w:val="0"/>
                <w:numId w:val="18"/>
              </w:numPr>
              <w:spacing w:line="320" w:lineRule="exact"/>
              <w:ind w:left="397" w:hanging="397"/>
              <w:jc w:val="both"/>
              <w:rPr>
                <w:rFonts w:ascii="標楷體" w:eastAsia="標楷體" w:hAnsi="Arial" w:hint="eastAsia"/>
                <w:sz w:val="22"/>
                <w:szCs w:val="22"/>
              </w:rPr>
            </w:pPr>
            <w:r w:rsidRPr="00360D59">
              <w:rPr>
                <w:rFonts w:ascii="標楷體" w:eastAsia="標楷體" w:hAnsi="Arial" w:hint="eastAsia"/>
                <w:sz w:val="22"/>
                <w:szCs w:val="22"/>
              </w:rPr>
              <w:t>股權分散情形是否符合本中心外國有價證券櫃檯買賣審查準則第四條所</w:t>
            </w:r>
            <w:r w:rsidR="00360D59">
              <w:rPr>
                <w:rFonts w:ascii="標楷體" w:eastAsia="標楷體" w:hAnsi="Arial" w:hint="eastAsia"/>
                <w:sz w:val="22"/>
                <w:szCs w:val="22"/>
              </w:rPr>
              <w:t>訂</w:t>
            </w:r>
            <w:r w:rsidRPr="00360D59">
              <w:rPr>
                <w:rFonts w:ascii="標楷體" w:eastAsia="標楷體" w:hAnsi="Arial" w:hint="eastAsia"/>
                <w:sz w:val="22"/>
                <w:szCs w:val="22"/>
              </w:rPr>
              <w:t>標準(</w:t>
            </w:r>
            <w:r w:rsidRPr="00360D59">
              <w:rPr>
                <w:rFonts w:eastAsia="標楷體" w:hint="eastAsia"/>
                <w:sz w:val="22"/>
                <w:szCs w:val="22"/>
              </w:rPr>
              <w:t>若未符合，申請公司是否</w:t>
            </w:r>
            <w:r w:rsidRPr="00360D59">
              <w:rPr>
                <w:rFonts w:eastAsia="標楷體" w:hint="eastAsia"/>
                <w:sz w:val="22"/>
                <w:szCs w:val="22"/>
              </w:rPr>
              <w:lastRenderedPageBreak/>
              <w:t>承諾於掛牌前達成股權分散標準</w:t>
            </w:r>
            <w:r w:rsidRPr="00360D59">
              <w:rPr>
                <w:rFonts w:ascii="標楷體" w:eastAsia="標楷體" w:hAnsi="Arial" w:hint="eastAsia"/>
                <w:sz w:val="22"/>
                <w:szCs w:val="22"/>
              </w:rPr>
              <w:t>)：</w:t>
            </w:r>
          </w:p>
          <w:p w:rsidR="00B95840" w:rsidRPr="00360D59" w:rsidRDefault="00B95840" w:rsidP="00360D59">
            <w:pPr>
              <w:spacing w:line="320" w:lineRule="exact"/>
              <w:ind w:left="360"/>
              <w:rPr>
                <w:rFonts w:ascii="標楷體" w:eastAsia="標楷體" w:hAnsi="Arial" w:hint="eastAsia"/>
                <w:sz w:val="22"/>
                <w:szCs w:val="22"/>
              </w:rPr>
            </w:pPr>
            <w:r w:rsidRPr="00360D59">
              <w:rPr>
                <w:rFonts w:ascii="標楷體" w:eastAsia="標楷體" w:hAnsi="Arial" w:hint="eastAsia"/>
                <w:sz w:val="22"/>
                <w:szCs w:val="22"/>
              </w:rPr>
              <w:sym w:font="Wingdings 2" w:char="F06A"/>
            </w:r>
            <w:r w:rsidRPr="00360D59">
              <w:rPr>
                <w:rFonts w:ascii="標楷體" w:eastAsia="標楷體" w:hAnsi="Arial" w:hint="eastAsia"/>
                <w:sz w:val="22"/>
                <w:szCs w:val="22"/>
              </w:rPr>
              <w:t xml:space="preserve">記名股東人數：　 </w:t>
            </w:r>
            <w:r w:rsidR="002702EE" w:rsidRPr="00360D59">
              <w:rPr>
                <w:rFonts w:ascii="標楷體" w:eastAsia="標楷體" w:hAnsi="Arial" w:hint="eastAsia"/>
                <w:sz w:val="22"/>
                <w:szCs w:val="22"/>
              </w:rPr>
              <w:t xml:space="preserve">   </w:t>
            </w:r>
            <w:r w:rsidRPr="00360D59">
              <w:rPr>
                <w:rFonts w:ascii="標楷體" w:eastAsia="標楷體" w:hAnsi="Arial" w:hint="eastAsia"/>
                <w:sz w:val="22"/>
                <w:szCs w:val="22"/>
              </w:rPr>
              <w:t xml:space="preserve">　人</w:t>
            </w:r>
          </w:p>
          <w:p w:rsidR="00360D59" w:rsidRDefault="00B95840" w:rsidP="00360D59">
            <w:pPr>
              <w:spacing w:line="320" w:lineRule="exact"/>
              <w:ind w:leftChars="150" w:left="558" w:hangingChars="90" w:hanging="198"/>
              <w:rPr>
                <w:rFonts w:ascii="標楷體" w:eastAsia="標楷體" w:hAnsi="Arial"/>
                <w:sz w:val="22"/>
                <w:szCs w:val="22"/>
              </w:rPr>
            </w:pPr>
            <w:r w:rsidRPr="00360D59">
              <w:rPr>
                <w:rFonts w:ascii="標楷體" w:eastAsia="標楷體" w:hAnsi="Arial" w:hint="eastAsia"/>
                <w:sz w:val="22"/>
                <w:szCs w:val="22"/>
              </w:rPr>
              <w:sym w:font="Wingdings 2" w:char="F06B"/>
            </w:r>
            <w:r w:rsidRPr="00360D59">
              <w:rPr>
                <w:rFonts w:ascii="標楷體" w:eastAsia="標楷體" w:hAnsi="標楷體" w:cs="細明體"/>
                <w:kern w:val="0"/>
                <w:sz w:val="22"/>
                <w:szCs w:val="22"/>
              </w:rPr>
              <w:t>公司內部人及該等內部人持股逾百分之五十之法人以外之記名股東人數</w:t>
            </w:r>
            <w:r w:rsidRPr="00360D59">
              <w:rPr>
                <w:rFonts w:ascii="標楷體" w:eastAsia="標楷體" w:hAnsi="Arial" w:hint="eastAsia"/>
                <w:sz w:val="22"/>
                <w:szCs w:val="22"/>
              </w:rPr>
              <w:t xml:space="preserve">：    </w:t>
            </w:r>
            <w:r w:rsidR="002702EE" w:rsidRPr="00360D59">
              <w:rPr>
                <w:rFonts w:ascii="標楷體" w:eastAsia="標楷體" w:hAnsi="Arial" w:hint="eastAsia"/>
                <w:sz w:val="22"/>
                <w:szCs w:val="22"/>
              </w:rPr>
              <w:t xml:space="preserve">    </w:t>
            </w:r>
            <w:r w:rsidRPr="00360D59">
              <w:rPr>
                <w:rFonts w:ascii="標楷體" w:eastAsia="標楷體" w:hAnsi="Arial" w:hint="eastAsia"/>
                <w:sz w:val="22"/>
                <w:szCs w:val="22"/>
              </w:rPr>
              <w:t>人</w:t>
            </w:r>
          </w:p>
          <w:p w:rsidR="00B95840" w:rsidRPr="00360D59" w:rsidRDefault="00B95840" w:rsidP="00360D59">
            <w:pPr>
              <w:spacing w:line="320" w:lineRule="exact"/>
              <w:ind w:leftChars="150" w:left="558" w:hangingChars="90" w:hanging="198"/>
              <w:rPr>
                <w:rFonts w:ascii="標楷體" w:eastAsia="標楷體" w:hAnsi="Arial" w:hint="eastAsia"/>
                <w:sz w:val="22"/>
                <w:szCs w:val="22"/>
              </w:rPr>
            </w:pPr>
            <w:r w:rsidRPr="00360D59">
              <w:rPr>
                <w:rFonts w:ascii="標楷體" w:eastAsia="標楷體" w:hAnsi="Arial" w:hint="eastAsia"/>
                <w:sz w:val="22"/>
                <w:szCs w:val="22"/>
              </w:rPr>
              <w:sym w:font="Wingdings 2" w:char="F06C"/>
            </w:r>
            <w:r w:rsidRPr="00360D59">
              <w:rPr>
                <w:rFonts w:eastAsia="標楷體" w:hint="eastAsia"/>
                <w:sz w:val="22"/>
                <w:szCs w:val="22"/>
              </w:rPr>
              <w:t>上開</w:t>
            </w:r>
            <w:r w:rsidRPr="00360D59">
              <w:rPr>
                <w:rFonts w:eastAsia="標楷體"/>
                <w:sz w:val="22"/>
                <w:szCs w:val="22"/>
              </w:rPr>
              <w:t>股東</w:t>
            </w:r>
            <w:r w:rsidRPr="00360D59">
              <w:rPr>
                <w:rFonts w:ascii="標楷體" w:eastAsia="標楷體" w:hAnsi="Arial" w:hint="eastAsia"/>
                <w:sz w:val="22"/>
                <w:szCs w:val="22"/>
              </w:rPr>
              <w:t>所持股份合計：</w:t>
            </w:r>
            <w:r w:rsidR="00360D59">
              <w:rPr>
                <w:rFonts w:ascii="標楷體" w:eastAsia="標楷體" w:hAnsi="Arial" w:hint="eastAsia"/>
                <w:sz w:val="22"/>
                <w:szCs w:val="22"/>
              </w:rPr>
              <w:t xml:space="preserve"> </w:t>
            </w:r>
            <w:r w:rsidR="002702EE" w:rsidRPr="00360D59">
              <w:rPr>
                <w:rFonts w:ascii="標楷體" w:eastAsia="標楷體" w:hAnsi="Arial" w:hint="eastAsia"/>
                <w:sz w:val="22"/>
                <w:szCs w:val="22"/>
              </w:rPr>
              <w:t xml:space="preserve">  </w:t>
            </w:r>
            <w:r w:rsidRPr="00360D59">
              <w:rPr>
                <w:rFonts w:ascii="標楷體" w:eastAsia="標楷體" w:hAnsi="Arial" w:hint="eastAsia"/>
                <w:sz w:val="22"/>
                <w:szCs w:val="22"/>
              </w:rPr>
              <w:t xml:space="preserve">股；占發行股份總額比率：    </w:t>
            </w:r>
            <w:r w:rsidR="00360D59">
              <w:rPr>
                <w:rFonts w:ascii="標楷體" w:eastAsia="標楷體" w:hAnsi="Arial" w:hint="eastAsia"/>
                <w:sz w:val="22"/>
                <w:szCs w:val="22"/>
              </w:rPr>
              <w:t xml:space="preserve"> </w:t>
            </w:r>
            <w:r w:rsidR="00360D59" w:rsidRPr="00360D59">
              <w:rPr>
                <w:rFonts w:eastAsia="標楷體"/>
                <w:sz w:val="22"/>
                <w:szCs w:val="22"/>
              </w:rPr>
              <w:t>%</w:t>
            </w:r>
          </w:p>
        </w:tc>
        <w:tc>
          <w:tcPr>
            <w:tcW w:w="1512" w:type="dxa"/>
          </w:tcPr>
          <w:p w:rsidR="00B95840" w:rsidRPr="00360D59" w:rsidRDefault="00B95840" w:rsidP="00360D59">
            <w:pPr>
              <w:spacing w:line="320" w:lineRule="exact"/>
              <w:ind w:left="28"/>
              <w:jc w:val="both"/>
              <w:rPr>
                <w:rFonts w:ascii="標楷體" w:eastAsia="標楷體" w:hAnsi="Arial" w:hint="eastAsia"/>
                <w:sz w:val="22"/>
                <w:szCs w:val="22"/>
              </w:rPr>
            </w:pPr>
            <w:r w:rsidRPr="00360D59">
              <w:rPr>
                <w:rFonts w:ascii="標楷體" w:eastAsia="標楷體" w:hAnsi="Arial" w:hint="eastAsia"/>
                <w:sz w:val="22"/>
                <w:szCs w:val="22"/>
              </w:rPr>
              <w:lastRenderedPageBreak/>
              <w:t>本中心外國有價證券櫃檯買賣審查準則</w:t>
            </w:r>
            <w:r w:rsidR="00B64153" w:rsidRPr="00B64153">
              <w:rPr>
                <w:rFonts w:ascii="標楷體" w:eastAsia="標楷體" w:hAnsi="Arial" w:hint="eastAsia"/>
                <w:color w:val="FF0000"/>
                <w:sz w:val="22"/>
                <w:szCs w:val="22"/>
                <w:u w:val="single"/>
              </w:rPr>
              <w:t>第</w:t>
            </w:r>
            <w:r w:rsidR="00B64153" w:rsidRPr="00B64153">
              <w:rPr>
                <w:rFonts w:ascii="標楷體" w:eastAsia="標楷體" w:hAnsi="Arial" w:hint="eastAsia"/>
                <w:color w:val="FF0000"/>
                <w:sz w:val="22"/>
                <w:szCs w:val="22"/>
                <w:u w:val="single"/>
              </w:rPr>
              <w:lastRenderedPageBreak/>
              <w:t>二條第十二款及</w:t>
            </w:r>
            <w:r w:rsidRPr="00360D59">
              <w:rPr>
                <w:rFonts w:ascii="標楷體" w:eastAsia="標楷體" w:hAnsi="Arial" w:hint="eastAsia"/>
                <w:sz w:val="22"/>
                <w:szCs w:val="22"/>
              </w:rPr>
              <w:t>第四條第一項第七款</w:t>
            </w:r>
          </w:p>
        </w:tc>
        <w:tc>
          <w:tcPr>
            <w:tcW w:w="3681" w:type="dxa"/>
          </w:tcPr>
          <w:p w:rsidR="00B64153" w:rsidRPr="00B64153" w:rsidRDefault="00B64153" w:rsidP="00B64153">
            <w:pPr>
              <w:pStyle w:val="a7"/>
              <w:numPr>
                <w:ilvl w:val="0"/>
                <w:numId w:val="22"/>
              </w:numPr>
              <w:spacing w:line="320" w:lineRule="exact"/>
              <w:jc w:val="both"/>
              <w:rPr>
                <w:rFonts w:ascii="標楷體" w:eastAsia="標楷體"/>
                <w:color w:val="FF0000"/>
                <w:sz w:val="22"/>
                <w:szCs w:val="22"/>
                <w:u w:val="single"/>
              </w:rPr>
            </w:pPr>
            <w:r w:rsidRPr="00B64153">
              <w:rPr>
                <w:rFonts w:ascii="標楷體" w:eastAsia="標楷體" w:hint="eastAsia"/>
                <w:color w:val="FF0000"/>
                <w:sz w:val="22"/>
                <w:szCs w:val="22"/>
                <w:u w:val="single"/>
              </w:rPr>
              <w:lastRenderedPageBreak/>
              <w:t>內部人：指外國發行人董事、監察人、經理人、持股超過股份總額百分之十之股東及其配偶、未</w:t>
            </w:r>
            <w:r w:rsidRPr="00B64153">
              <w:rPr>
                <w:rFonts w:ascii="標楷體" w:eastAsia="標楷體" w:hint="eastAsia"/>
                <w:color w:val="FF0000"/>
                <w:sz w:val="22"/>
                <w:szCs w:val="22"/>
                <w:u w:val="single"/>
              </w:rPr>
              <w:lastRenderedPageBreak/>
              <w:t>成年子女。</w:t>
            </w:r>
          </w:p>
          <w:p w:rsidR="00B95840" w:rsidRPr="00360D59" w:rsidRDefault="00B95840" w:rsidP="00B64153">
            <w:pPr>
              <w:pStyle w:val="a7"/>
              <w:numPr>
                <w:ilvl w:val="0"/>
                <w:numId w:val="22"/>
              </w:numPr>
              <w:spacing w:line="320" w:lineRule="exact"/>
              <w:ind w:left="482" w:hanging="482"/>
              <w:jc w:val="both"/>
              <w:rPr>
                <w:rFonts w:ascii="標楷體" w:eastAsia="標楷體" w:hAnsi="Arial" w:hint="eastAsia"/>
                <w:sz w:val="22"/>
                <w:szCs w:val="22"/>
              </w:rPr>
            </w:pPr>
            <w:r w:rsidRPr="00B64153">
              <w:rPr>
                <w:rFonts w:ascii="標楷體" w:eastAsia="標楷體"/>
                <w:sz w:val="22"/>
                <w:szCs w:val="22"/>
              </w:rPr>
              <w:t>公司</w:t>
            </w:r>
            <w:r w:rsidRPr="00360D59">
              <w:rPr>
                <w:rFonts w:ascii="標楷體" w:eastAsia="標楷體" w:hAnsi="標楷體" w:cs="細明體"/>
                <w:sz w:val="22"/>
                <w:szCs w:val="22"/>
              </w:rPr>
              <w:t>內部人及該等內部人持股逾百分之五十之法人以外之記名股東人數不少於三百人，且其所持股份總額合計占發行股份總額百分之二十</w:t>
            </w:r>
            <w:r w:rsidRPr="00360D59">
              <w:rPr>
                <w:rFonts w:ascii="標楷體" w:eastAsia="標楷體" w:hAnsi="標楷體" w:cs="新細明體"/>
                <w:sz w:val="22"/>
                <w:szCs w:val="22"/>
              </w:rPr>
              <w:t>以上或逾一千萬股。</w:t>
            </w:r>
            <w:r w:rsidRPr="00B64153">
              <w:rPr>
                <w:rFonts w:ascii="標楷體" w:eastAsia="標楷體" w:hAnsi="標楷體" w:hint="eastAsia"/>
                <w:strike/>
                <w:color w:val="FF0000"/>
                <w:sz w:val="22"/>
                <w:szCs w:val="22"/>
              </w:rPr>
              <w:t>所稱內部人，係指公司</w:t>
            </w:r>
            <w:r w:rsidRPr="00B64153">
              <w:rPr>
                <w:rFonts w:ascii="標楷體" w:eastAsia="標楷體" w:hAnsi="標楷體"/>
                <w:strike/>
                <w:color w:val="FF0000"/>
                <w:sz w:val="22"/>
                <w:szCs w:val="22"/>
              </w:rPr>
              <w:t>董事、監察人、經理人</w:t>
            </w:r>
            <w:r w:rsidRPr="00B64153">
              <w:rPr>
                <w:rFonts w:ascii="標楷體" w:eastAsia="標楷體" w:hAnsi="標楷體" w:hint="eastAsia"/>
                <w:strike/>
                <w:color w:val="FF0000"/>
                <w:sz w:val="22"/>
                <w:szCs w:val="22"/>
              </w:rPr>
              <w:t>、</w:t>
            </w:r>
            <w:r w:rsidRPr="00B64153">
              <w:rPr>
                <w:rFonts w:ascii="標楷體" w:eastAsia="標楷體" w:hAnsi="標楷體"/>
                <w:strike/>
                <w:color w:val="FF0000"/>
                <w:sz w:val="22"/>
                <w:szCs w:val="22"/>
              </w:rPr>
              <w:t>持股超過股份總額百分之十之股東</w:t>
            </w:r>
            <w:r w:rsidRPr="00B64153">
              <w:rPr>
                <w:rFonts w:ascii="標楷體" w:eastAsia="標楷體" w:hAnsi="標楷體" w:hint="eastAsia"/>
                <w:strike/>
                <w:color w:val="FF0000"/>
                <w:sz w:val="22"/>
                <w:szCs w:val="22"/>
              </w:rPr>
              <w:t>及其</w:t>
            </w:r>
            <w:r w:rsidRPr="00B64153">
              <w:rPr>
                <w:rFonts w:ascii="標楷體" w:eastAsia="標楷體" w:hAnsi="標楷體"/>
                <w:strike/>
                <w:color w:val="FF0000"/>
                <w:sz w:val="22"/>
                <w:szCs w:val="22"/>
              </w:rPr>
              <w:t>配偶、未成年子女</w:t>
            </w:r>
            <w:r w:rsidRPr="00B64153">
              <w:rPr>
                <w:rFonts w:ascii="標楷體" w:eastAsia="標楷體" w:hAnsi="標楷體" w:hint="eastAsia"/>
                <w:strike/>
                <w:color w:val="FF0000"/>
                <w:sz w:val="22"/>
                <w:szCs w:val="22"/>
              </w:rPr>
              <w:t>。</w:t>
            </w:r>
          </w:p>
        </w:tc>
        <w:tc>
          <w:tcPr>
            <w:tcW w:w="1249" w:type="dxa"/>
          </w:tcPr>
          <w:p w:rsidR="00B95840" w:rsidRPr="00360D59" w:rsidRDefault="00B95840" w:rsidP="00360D59">
            <w:pPr>
              <w:spacing w:line="320" w:lineRule="exact"/>
              <w:ind w:left="57"/>
              <w:jc w:val="center"/>
              <w:rPr>
                <w:rFonts w:ascii="標楷體" w:eastAsia="標楷體" w:hAnsi="Arial" w:hint="eastAsia"/>
                <w:sz w:val="22"/>
                <w:szCs w:val="22"/>
              </w:rPr>
            </w:pPr>
            <w:r w:rsidRPr="00360D59">
              <w:rPr>
                <w:rFonts w:ascii="標楷體" w:eastAsia="標楷體" w:hAnsi="Arial" w:hint="eastAsia"/>
                <w:sz w:val="22"/>
                <w:szCs w:val="22"/>
              </w:rPr>
              <w:lastRenderedPageBreak/>
              <w:t>□是 □否</w:t>
            </w:r>
          </w:p>
        </w:tc>
      </w:tr>
      <w:tr w:rsidR="00B95840">
        <w:tblPrEx>
          <w:tblCellMar>
            <w:top w:w="0" w:type="dxa"/>
            <w:bottom w:w="0" w:type="dxa"/>
          </w:tblCellMar>
        </w:tblPrEx>
        <w:trPr>
          <w:trHeight w:val="611"/>
        </w:trPr>
        <w:tc>
          <w:tcPr>
            <w:tcW w:w="3766" w:type="dxa"/>
          </w:tcPr>
          <w:p w:rsidR="00B95840" w:rsidRPr="00360D59" w:rsidRDefault="001B2614" w:rsidP="00B64153">
            <w:pPr>
              <w:numPr>
                <w:ilvl w:val="0"/>
                <w:numId w:val="18"/>
              </w:numPr>
              <w:spacing w:line="320" w:lineRule="exact"/>
              <w:ind w:left="397" w:hanging="397"/>
              <w:jc w:val="both"/>
              <w:rPr>
                <w:rFonts w:ascii="標楷體" w:eastAsia="標楷體" w:hAnsi="Arial" w:hint="eastAsia"/>
                <w:sz w:val="22"/>
                <w:szCs w:val="22"/>
              </w:rPr>
            </w:pPr>
            <w:r w:rsidRPr="00360D59">
              <w:rPr>
                <w:rFonts w:ascii="標楷體" w:eastAsia="標楷體" w:hAnsi="Arial" w:hint="eastAsia"/>
                <w:sz w:val="22"/>
                <w:szCs w:val="22"/>
              </w:rPr>
              <w:t>公司股票應集中保管人員</w:t>
            </w:r>
            <w:r w:rsidR="00B95840" w:rsidRPr="00360D59">
              <w:rPr>
                <w:rFonts w:ascii="標楷體" w:eastAsia="標楷體" w:hAnsi="Arial" w:hint="eastAsia"/>
                <w:sz w:val="22"/>
                <w:szCs w:val="22"/>
              </w:rPr>
              <w:t>，其股份應集中保管成數暨其相關承諾事項是否符合本中心之規定。</w:t>
            </w:r>
          </w:p>
        </w:tc>
        <w:tc>
          <w:tcPr>
            <w:tcW w:w="1512" w:type="dxa"/>
          </w:tcPr>
          <w:p w:rsidR="00B95840" w:rsidRPr="00360D59" w:rsidRDefault="00B95840" w:rsidP="00B64153">
            <w:pPr>
              <w:spacing w:line="320" w:lineRule="exact"/>
              <w:ind w:left="28"/>
              <w:jc w:val="both"/>
              <w:rPr>
                <w:rFonts w:ascii="標楷體" w:eastAsia="標楷體" w:hAnsi="Arial" w:hint="eastAsia"/>
                <w:sz w:val="22"/>
                <w:szCs w:val="22"/>
              </w:rPr>
            </w:pPr>
            <w:r w:rsidRPr="00360D59">
              <w:rPr>
                <w:rFonts w:ascii="標楷體" w:eastAsia="標楷體" w:hAnsi="Arial" w:hint="eastAsia"/>
                <w:sz w:val="22"/>
                <w:szCs w:val="22"/>
              </w:rPr>
              <w:t>本中心外國有價證券櫃檯買賣審查準則第五條</w:t>
            </w:r>
          </w:p>
        </w:tc>
        <w:tc>
          <w:tcPr>
            <w:tcW w:w="3681" w:type="dxa"/>
          </w:tcPr>
          <w:p w:rsidR="001B2614" w:rsidRPr="00360D59" w:rsidRDefault="00B95840" w:rsidP="00360D59">
            <w:pPr>
              <w:pStyle w:val="a8"/>
              <w:numPr>
                <w:ilvl w:val="0"/>
                <w:numId w:val="17"/>
              </w:numPr>
              <w:tabs>
                <w:tab w:val="clear" w:pos="417"/>
              </w:tabs>
              <w:spacing w:line="320" w:lineRule="exact"/>
              <w:ind w:left="454" w:right="0" w:hanging="454"/>
              <w:rPr>
                <w:sz w:val="22"/>
                <w:szCs w:val="22"/>
              </w:rPr>
            </w:pPr>
            <w:r w:rsidRPr="00360D59">
              <w:rPr>
                <w:rFonts w:hint="eastAsia"/>
                <w:sz w:val="22"/>
                <w:szCs w:val="22"/>
              </w:rPr>
              <w:t>外國發行人之</w:t>
            </w:r>
            <w:r w:rsidR="001B2614" w:rsidRPr="00360D59">
              <w:rPr>
                <w:rFonts w:hint="eastAsia"/>
                <w:sz w:val="22"/>
                <w:szCs w:val="22"/>
              </w:rPr>
              <w:t>股票應集中保管人員，除下列特定事業另為規定外，係指董事</w:t>
            </w:r>
            <w:r w:rsidR="001B2614" w:rsidRPr="00B64153">
              <w:rPr>
                <w:rFonts w:hint="eastAsia"/>
                <w:strike/>
                <w:color w:val="FF0000"/>
                <w:sz w:val="22"/>
                <w:szCs w:val="22"/>
              </w:rPr>
              <w:t>、監察人</w:t>
            </w:r>
            <w:r w:rsidR="001B2614" w:rsidRPr="00360D59">
              <w:rPr>
                <w:rFonts w:ascii="Times New Roman" w:hint="eastAsia"/>
                <w:sz w:val="22"/>
                <w:szCs w:val="22"/>
              </w:rPr>
              <w:t>及持股超過股份總額百分之十之股東：</w:t>
            </w:r>
          </w:p>
          <w:p w:rsidR="001B2614" w:rsidRPr="00360D59" w:rsidRDefault="001B2614" w:rsidP="00B64153">
            <w:pPr>
              <w:pStyle w:val="a8"/>
              <w:numPr>
                <w:ilvl w:val="1"/>
                <w:numId w:val="17"/>
              </w:numPr>
              <w:tabs>
                <w:tab w:val="clear" w:pos="1017"/>
              </w:tabs>
              <w:spacing w:line="320" w:lineRule="exact"/>
              <w:ind w:left="908" w:right="0" w:hanging="454"/>
              <w:rPr>
                <w:rFonts w:ascii="Times New Roman" w:hint="eastAsia"/>
                <w:sz w:val="22"/>
                <w:szCs w:val="22"/>
              </w:rPr>
            </w:pPr>
            <w:r w:rsidRPr="00360D59">
              <w:rPr>
                <w:rFonts w:ascii="Times New Roman" w:hint="eastAsia"/>
                <w:sz w:val="22"/>
                <w:szCs w:val="22"/>
              </w:rPr>
              <w:t>科技事業之董事、</w:t>
            </w:r>
            <w:r w:rsidRPr="00B64153">
              <w:rPr>
                <w:rFonts w:ascii="Times New Roman" w:hint="eastAsia"/>
                <w:strike/>
                <w:color w:val="FF0000"/>
                <w:sz w:val="22"/>
                <w:szCs w:val="22"/>
              </w:rPr>
              <w:t>監察人、</w:t>
            </w:r>
            <w:r w:rsidRPr="00360D59">
              <w:rPr>
                <w:rFonts w:ascii="Times New Roman" w:hint="eastAsia"/>
                <w:sz w:val="22"/>
                <w:szCs w:val="22"/>
              </w:rPr>
              <w:t>總經理、研發主管、持股超過股份總額百分之五之股東，及以專利權或專門技術出資而在公司任有職務並持有公司申請上櫃時已發行股份總數達千分之五或十萬股以上之股東。</w:t>
            </w:r>
          </w:p>
          <w:p w:rsidR="001B2614" w:rsidRPr="00360D59" w:rsidRDefault="001B2614" w:rsidP="00B64153">
            <w:pPr>
              <w:pStyle w:val="a8"/>
              <w:numPr>
                <w:ilvl w:val="1"/>
                <w:numId w:val="17"/>
              </w:numPr>
              <w:tabs>
                <w:tab w:val="clear" w:pos="1017"/>
              </w:tabs>
              <w:spacing w:line="320" w:lineRule="exact"/>
              <w:ind w:left="908" w:right="0" w:hanging="454"/>
              <w:rPr>
                <w:rFonts w:ascii="Times New Roman" w:hint="eastAsia"/>
                <w:color w:val="FF0000"/>
                <w:sz w:val="22"/>
                <w:szCs w:val="22"/>
                <w:u w:val="single"/>
              </w:rPr>
            </w:pPr>
            <w:r w:rsidRPr="00360D59">
              <w:rPr>
                <w:rFonts w:ascii="Times New Roman" w:hint="eastAsia"/>
                <w:sz w:val="22"/>
                <w:szCs w:val="22"/>
              </w:rPr>
              <w:t>文化創意事業之董事、</w:t>
            </w:r>
            <w:r w:rsidRPr="00B64153">
              <w:rPr>
                <w:rFonts w:ascii="Times New Roman" w:hint="eastAsia"/>
                <w:strike/>
                <w:color w:val="FF0000"/>
                <w:sz w:val="22"/>
                <w:szCs w:val="22"/>
              </w:rPr>
              <w:t>監察人、</w:t>
            </w:r>
            <w:r w:rsidRPr="00360D59">
              <w:rPr>
                <w:rFonts w:ascii="Times New Roman" w:hint="eastAsia"/>
                <w:sz w:val="22"/>
                <w:szCs w:val="22"/>
              </w:rPr>
              <w:t>持股超過股份總額百分之五之股東，及以專利權或專門技術出資而在公司任有職務並持有公司申請上櫃時已發行股份總數達千分之五或十萬股以上之股東。</w:t>
            </w:r>
          </w:p>
          <w:p w:rsidR="00B140BA" w:rsidRPr="00360D59" w:rsidRDefault="00B140BA" w:rsidP="00360D59">
            <w:pPr>
              <w:pStyle w:val="a8"/>
              <w:numPr>
                <w:ilvl w:val="0"/>
                <w:numId w:val="17"/>
              </w:numPr>
              <w:tabs>
                <w:tab w:val="clear" w:pos="417"/>
              </w:tabs>
              <w:spacing w:line="320" w:lineRule="exact"/>
              <w:ind w:left="454" w:right="0" w:hanging="454"/>
              <w:rPr>
                <w:sz w:val="22"/>
                <w:szCs w:val="22"/>
              </w:rPr>
            </w:pPr>
            <w:r w:rsidRPr="00360D59">
              <w:rPr>
                <w:rFonts w:ascii="Times New Roman" w:hint="eastAsia"/>
                <w:sz w:val="22"/>
                <w:szCs w:val="22"/>
              </w:rPr>
              <w:t>前項科技事業或文化創意事業於登錄興櫃股票期間，其推薦證券商因認購或因買賣營業證券，致持股超過已發行股份總額百分之五</w:t>
            </w:r>
            <w:r w:rsidRPr="00B64153">
              <w:rPr>
                <w:rFonts w:ascii="Times New Roman" w:hint="eastAsia"/>
                <w:strike/>
                <w:color w:val="FF0000"/>
                <w:sz w:val="22"/>
                <w:szCs w:val="22"/>
              </w:rPr>
              <w:t>以上</w:t>
            </w:r>
            <w:r w:rsidRPr="00360D59">
              <w:rPr>
                <w:rFonts w:ascii="Times New Roman" w:hint="eastAsia"/>
                <w:sz w:val="22"/>
                <w:szCs w:val="22"/>
              </w:rPr>
              <w:t>者，不在此限。</w:t>
            </w:r>
          </w:p>
          <w:p w:rsidR="001B2614" w:rsidRPr="00360D59" w:rsidRDefault="001B2614" w:rsidP="00360D59">
            <w:pPr>
              <w:pStyle w:val="a8"/>
              <w:numPr>
                <w:ilvl w:val="0"/>
                <w:numId w:val="17"/>
              </w:numPr>
              <w:tabs>
                <w:tab w:val="clear" w:pos="417"/>
              </w:tabs>
              <w:spacing w:line="320" w:lineRule="exact"/>
              <w:ind w:left="454" w:right="0" w:hanging="454"/>
              <w:rPr>
                <w:sz w:val="22"/>
                <w:szCs w:val="22"/>
              </w:rPr>
            </w:pPr>
            <w:r w:rsidRPr="00360D59">
              <w:rPr>
                <w:rFonts w:ascii="Times New Roman" w:hint="eastAsia"/>
                <w:sz w:val="22"/>
                <w:szCs w:val="22"/>
              </w:rPr>
              <w:t>第一項股票應集中保管人員應將其申請書件上所載持股，扣除委託推薦證券商辦理承銷股數後，全數提交集中保管，且總計不得低於申請上櫃時公司已發行普通股股份總額依第四項規定所計算之比率。如有不足者，應協調其他股東補足之。</w:t>
            </w:r>
          </w:p>
          <w:p w:rsidR="00B95840" w:rsidRPr="00360D59" w:rsidRDefault="00B95840" w:rsidP="00360D59">
            <w:pPr>
              <w:pStyle w:val="a8"/>
              <w:numPr>
                <w:ilvl w:val="0"/>
                <w:numId w:val="17"/>
              </w:numPr>
              <w:tabs>
                <w:tab w:val="clear" w:pos="417"/>
              </w:tabs>
              <w:spacing w:line="320" w:lineRule="exact"/>
              <w:ind w:left="454" w:right="0" w:hanging="454"/>
              <w:rPr>
                <w:sz w:val="22"/>
                <w:szCs w:val="22"/>
              </w:rPr>
            </w:pPr>
            <w:r w:rsidRPr="00360D59">
              <w:rPr>
                <w:rFonts w:hint="eastAsia"/>
                <w:sz w:val="22"/>
                <w:szCs w:val="22"/>
              </w:rPr>
              <w:t>前項</w:t>
            </w:r>
            <w:r w:rsidRPr="00360D59">
              <w:rPr>
                <w:sz w:val="22"/>
                <w:szCs w:val="22"/>
              </w:rPr>
              <w:t>所規定</w:t>
            </w:r>
            <w:r w:rsidRPr="00360D59">
              <w:rPr>
                <w:rFonts w:hint="eastAsia"/>
                <w:sz w:val="22"/>
                <w:szCs w:val="22"/>
              </w:rPr>
              <w:t>之申請上櫃時</w:t>
            </w:r>
            <w:r w:rsidRPr="00360D59">
              <w:rPr>
                <w:sz w:val="22"/>
                <w:szCs w:val="22"/>
              </w:rPr>
              <w:t>股份總額，</w:t>
            </w:r>
            <w:r w:rsidRPr="00360D59">
              <w:rPr>
                <w:rFonts w:hint="eastAsia"/>
                <w:sz w:val="22"/>
                <w:szCs w:val="22"/>
              </w:rPr>
              <w:t>應</w:t>
            </w:r>
            <w:r w:rsidRPr="00360D59">
              <w:rPr>
                <w:sz w:val="22"/>
                <w:szCs w:val="22"/>
              </w:rPr>
              <w:t>依下列方式計算其應提交</w:t>
            </w:r>
            <w:r w:rsidRPr="00360D59">
              <w:rPr>
                <w:sz w:val="22"/>
                <w:szCs w:val="22"/>
              </w:rPr>
              <w:lastRenderedPageBreak/>
              <w:t>集中保管之總計比率</w:t>
            </w:r>
            <w:r w:rsidRPr="00360D59">
              <w:rPr>
                <w:rFonts w:hint="eastAsia"/>
                <w:sz w:val="22"/>
                <w:szCs w:val="22"/>
              </w:rPr>
              <w:t>：</w:t>
            </w:r>
          </w:p>
          <w:p w:rsidR="00B95840" w:rsidRPr="00B64153" w:rsidRDefault="00B95840" w:rsidP="00B64153">
            <w:pPr>
              <w:pStyle w:val="a8"/>
              <w:numPr>
                <w:ilvl w:val="1"/>
                <w:numId w:val="17"/>
              </w:numPr>
              <w:tabs>
                <w:tab w:val="clear" w:pos="1017"/>
              </w:tabs>
              <w:spacing w:line="320" w:lineRule="exact"/>
              <w:ind w:left="908" w:right="0" w:hanging="454"/>
              <w:rPr>
                <w:rFonts w:ascii="Times New Roman"/>
                <w:sz w:val="22"/>
                <w:szCs w:val="22"/>
              </w:rPr>
            </w:pPr>
            <w:r w:rsidRPr="00B64153">
              <w:rPr>
                <w:rFonts w:ascii="Times New Roman" w:hint="eastAsia"/>
                <w:sz w:val="22"/>
                <w:szCs w:val="22"/>
              </w:rPr>
              <w:t>申請上櫃時</w:t>
            </w:r>
            <w:r w:rsidRPr="00B64153">
              <w:rPr>
                <w:rFonts w:ascii="Times New Roman"/>
                <w:sz w:val="22"/>
                <w:szCs w:val="22"/>
              </w:rPr>
              <w:t>股份總額在三千萬股以下者，應提交股份總額百分之二十五。</w:t>
            </w:r>
          </w:p>
          <w:p w:rsidR="00B95840" w:rsidRPr="00B64153" w:rsidRDefault="00B95840" w:rsidP="00B64153">
            <w:pPr>
              <w:pStyle w:val="a8"/>
              <w:numPr>
                <w:ilvl w:val="1"/>
                <w:numId w:val="17"/>
              </w:numPr>
              <w:tabs>
                <w:tab w:val="clear" w:pos="1017"/>
              </w:tabs>
              <w:spacing w:line="320" w:lineRule="exact"/>
              <w:ind w:left="908" w:right="0" w:hanging="454"/>
              <w:rPr>
                <w:rFonts w:ascii="Times New Roman"/>
                <w:sz w:val="22"/>
                <w:szCs w:val="22"/>
              </w:rPr>
            </w:pPr>
            <w:r w:rsidRPr="00B64153">
              <w:rPr>
                <w:rFonts w:ascii="Times New Roman" w:hint="eastAsia"/>
                <w:sz w:val="22"/>
                <w:szCs w:val="22"/>
              </w:rPr>
              <w:t>申請上櫃時</w:t>
            </w:r>
            <w:r w:rsidRPr="00B64153">
              <w:rPr>
                <w:rFonts w:ascii="Times New Roman"/>
                <w:sz w:val="22"/>
                <w:szCs w:val="22"/>
              </w:rPr>
              <w:t>股份總額超過三千萬股至一億股以下者，除依前款規定辦理外，超過三千萬股部分，應提交股份總額百分之二十。</w:t>
            </w:r>
          </w:p>
          <w:p w:rsidR="00B95840" w:rsidRPr="00B64153" w:rsidRDefault="00B95840" w:rsidP="00B64153">
            <w:pPr>
              <w:pStyle w:val="a8"/>
              <w:numPr>
                <w:ilvl w:val="1"/>
                <w:numId w:val="17"/>
              </w:numPr>
              <w:tabs>
                <w:tab w:val="clear" w:pos="1017"/>
              </w:tabs>
              <w:spacing w:line="320" w:lineRule="exact"/>
              <w:ind w:left="908" w:right="0" w:hanging="454"/>
              <w:rPr>
                <w:rFonts w:ascii="Times New Roman"/>
                <w:sz w:val="22"/>
                <w:szCs w:val="22"/>
              </w:rPr>
            </w:pPr>
            <w:r w:rsidRPr="00B64153">
              <w:rPr>
                <w:rFonts w:ascii="Times New Roman" w:hint="eastAsia"/>
                <w:sz w:val="22"/>
                <w:szCs w:val="22"/>
              </w:rPr>
              <w:t>申請上櫃時</w:t>
            </w:r>
            <w:r w:rsidRPr="00B64153">
              <w:rPr>
                <w:rFonts w:ascii="Times New Roman"/>
                <w:sz w:val="22"/>
                <w:szCs w:val="22"/>
              </w:rPr>
              <w:t>股份總額超過一億股至二億股以下者，除依前款規定辦理外，超過一億股部分，應提交股份總額百分之十。</w:t>
            </w:r>
          </w:p>
          <w:p w:rsidR="00B95840" w:rsidRPr="00360D59" w:rsidRDefault="00B95840" w:rsidP="00B64153">
            <w:pPr>
              <w:pStyle w:val="a8"/>
              <w:numPr>
                <w:ilvl w:val="1"/>
                <w:numId w:val="17"/>
              </w:numPr>
              <w:tabs>
                <w:tab w:val="clear" w:pos="1017"/>
              </w:tabs>
              <w:spacing w:line="320" w:lineRule="exact"/>
              <w:ind w:left="908" w:right="0" w:hanging="454"/>
              <w:rPr>
                <w:rFonts w:hint="eastAsia"/>
                <w:sz w:val="22"/>
                <w:szCs w:val="22"/>
              </w:rPr>
            </w:pPr>
            <w:r w:rsidRPr="00B64153">
              <w:rPr>
                <w:rFonts w:ascii="Times New Roman" w:hint="eastAsia"/>
                <w:sz w:val="22"/>
                <w:szCs w:val="22"/>
              </w:rPr>
              <w:t>申請上櫃時</w:t>
            </w:r>
            <w:r w:rsidRPr="00B64153">
              <w:rPr>
                <w:rFonts w:ascii="Times New Roman"/>
                <w:sz w:val="22"/>
                <w:szCs w:val="22"/>
              </w:rPr>
              <w:t>股份總額超過二億股者，除依前款規定辦理外，超過二億股部分，應提交股份總額百分之五。</w:t>
            </w:r>
          </w:p>
          <w:p w:rsidR="00B95840" w:rsidRPr="00360D59" w:rsidRDefault="00B95840" w:rsidP="00360D59">
            <w:pPr>
              <w:pStyle w:val="a8"/>
              <w:numPr>
                <w:ilvl w:val="0"/>
                <w:numId w:val="17"/>
              </w:numPr>
              <w:tabs>
                <w:tab w:val="clear" w:pos="417"/>
              </w:tabs>
              <w:spacing w:line="320" w:lineRule="exact"/>
              <w:ind w:left="454" w:right="0" w:hanging="454"/>
              <w:rPr>
                <w:rFonts w:hint="eastAsia"/>
                <w:sz w:val="22"/>
                <w:szCs w:val="22"/>
              </w:rPr>
            </w:pPr>
            <w:r w:rsidRPr="00360D59">
              <w:rPr>
                <w:rFonts w:hint="eastAsia"/>
                <w:sz w:val="22"/>
                <w:szCs w:val="22"/>
              </w:rPr>
              <w:t>股票應集中保管人員就</w:t>
            </w:r>
            <w:r w:rsidRPr="00360D59">
              <w:rPr>
                <w:sz w:val="22"/>
                <w:szCs w:val="22"/>
              </w:rPr>
              <w:t>申請上</w:t>
            </w:r>
            <w:r w:rsidRPr="00360D59">
              <w:rPr>
                <w:rFonts w:hint="eastAsia"/>
                <w:sz w:val="22"/>
                <w:szCs w:val="22"/>
              </w:rPr>
              <w:t>櫃</w:t>
            </w:r>
            <w:r w:rsidRPr="00360D59">
              <w:rPr>
                <w:sz w:val="22"/>
                <w:szCs w:val="22"/>
              </w:rPr>
              <w:t>日至掛牌日止</w:t>
            </w:r>
            <w:r w:rsidRPr="00360D59">
              <w:rPr>
                <w:rFonts w:hint="eastAsia"/>
                <w:sz w:val="22"/>
                <w:szCs w:val="22"/>
              </w:rPr>
              <w:t>之期間，發行公司</w:t>
            </w:r>
            <w:r w:rsidRPr="00360D59">
              <w:rPr>
                <w:sz w:val="22"/>
                <w:szCs w:val="22"/>
              </w:rPr>
              <w:t>增資發行</w:t>
            </w:r>
            <w:r w:rsidRPr="00360D59">
              <w:rPr>
                <w:rFonts w:hint="eastAsia"/>
                <w:sz w:val="22"/>
                <w:szCs w:val="22"/>
              </w:rPr>
              <w:t>所因此而取得之增資</w:t>
            </w:r>
            <w:r w:rsidRPr="00360D59">
              <w:rPr>
                <w:sz w:val="22"/>
                <w:szCs w:val="22"/>
              </w:rPr>
              <w:t>新股</w:t>
            </w:r>
            <w:r w:rsidRPr="00360D59">
              <w:rPr>
                <w:rFonts w:hint="eastAsia"/>
                <w:sz w:val="22"/>
                <w:szCs w:val="22"/>
              </w:rPr>
              <w:t>，及因其他原因而取得之股票，應全數提交集中保管且不得予以質押或移轉等處分。於掛牌日止尚未實現取得股票者，應承諾於實現取得股票後提交集中保管</w:t>
            </w:r>
            <w:r w:rsidRPr="00360D59">
              <w:rPr>
                <w:sz w:val="22"/>
                <w:szCs w:val="22"/>
              </w:rPr>
              <w:t>。</w:t>
            </w:r>
            <w:r w:rsidRPr="00360D59">
              <w:rPr>
                <w:rFonts w:hint="eastAsia"/>
                <w:sz w:val="22"/>
                <w:szCs w:val="22"/>
              </w:rPr>
              <w:t>前揭所稱之其他原因，係指繼承、受贈、興櫃市場買進等原因。</w:t>
            </w:r>
          </w:p>
          <w:p w:rsidR="00B95840" w:rsidRPr="00360D59" w:rsidRDefault="00B95840" w:rsidP="00360D59">
            <w:pPr>
              <w:pStyle w:val="a8"/>
              <w:numPr>
                <w:ilvl w:val="0"/>
                <w:numId w:val="17"/>
              </w:numPr>
              <w:tabs>
                <w:tab w:val="clear" w:pos="417"/>
              </w:tabs>
              <w:spacing w:line="320" w:lineRule="exact"/>
              <w:ind w:left="454" w:right="0" w:hanging="454"/>
              <w:rPr>
                <w:rFonts w:hint="eastAsia"/>
                <w:sz w:val="22"/>
                <w:szCs w:val="22"/>
              </w:rPr>
            </w:pPr>
            <w:r w:rsidRPr="00360D59">
              <w:rPr>
                <w:rFonts w:hint="eastAsia"/>
                <w:sz w:val="22"/>
                <w:szCs w:val="22"/>
              </w:rPr>
              <w:t>委託推薦證券商辦理承銷之股數本已扣除無須提交集中保管，但實際於過額配售中，未能出售之部分，仍應於推薦證券商退還後，於掛牌前將其提交集中保管。至於推薦證券商於掛牌首五個營業日執行穩定價格措施，致有由市場買回之股份，則無需將其提交集中保管。</w:t>
            </w:r>
          </w:p>
          <w:p w:rsidR="00B95840" w:rsidRPr="00360D59" w:rsidRDefault="00B95840" w:rsidP="00360D59">
            <w:pPr>
              <w:pStyle w:val="a8"/>
              <w:numPr>
                <w:ilvl w:val="0"/>
                <w:numId w:val="17"/>
              </w:numPr>
              <w:tabs>
                <w:tab w:val="clear" w:pos="417"/>
              </w:tabs>
              <w:spacing w:line="320" w:lineRule="exact"/>
              <w:ind w:left="454" w:right="0" w:hanging="454"/>
              <w:rPr>
                <w:rFonts w:hint="eastAsia"/>
                <w:sz w:val="22"/>
                <w:szCs w:val="22"/>
              </w:rPr>
            </w:pPr>
            <w:r w:rsidRPr="00360D59">
              <w:rPr>
                <w:rFonts w:hint="eastAsia"/>
                <w:sz w:val="22"/>
                <w:szCs w:val="22"/>
              </w:rPr>
              <w:t>指定集中保管機構為</w:t>
            </w:r>
            <w:r w:rsidRPr="00360D59">
              <w:rPr>
                <w:sz w:val="22"/>
                <w:szCs w:val="22"/>
              </w:rPr>
              <w:t>集保結算所</w:t>
            </w:r>
            <w:r w:rsidRPr="00360D59">
              <w:rPr>
                <w:rFonts w:hint="eastAsia"/>
                <w:sz w:val="22"/>
                <w:szCs w:val="22"/>
              </w:rPr>
              <w:t>。</w:t>
            </w:r>
          </w:p>
          <w:p w:rsidR="00B95840" w:rsidRPr="00360D59" w:rsidRDefault="00B95840" w:rsidP="00360D59">
            <w:pPr>
              <w:pStyle w:val="a8"/>
              <w:numPr>
                <w:ilvl w:val="0"/>
                <w:numId w:val="17"/>
              </w:numPr>
              <w:tabs>
                <w:tab w:val="clear" w:pos="417"/>
              </w:tabs>
              <w:spacing w:line="320" w:lineRule="exact"/>
              <w:ind w:left="454" w:right="0" w:hanging="454"/>
              <w:rPr>
                <w:sz w:val="22"/>
                <w:szCs w:val="22"/>
              </w:rPr>
            </w:pPr>
            <w:r w:rsidRPr="00360D59">
              <w:rPr>
                <w:rFonts w:hint="eastAsia"/>
                <w:sz w:val="22"/>
                <w:szCs w:val="22"/>
              </w:rPr>
              <w:t>依規定提交集中保管之股票，</w:t>
            </w:r>
            <w:r w:rsidR="001B2614" w:rsidRPr="00B64153">
              <w:rPr>
                <w:rFonts w:hint="eastAsia"/>
                <w:sz w:val="22"/>
                <w:szCs w:val="22"/>
              </w:rPr>
              <w:t>除第九項另有規</w:t>
            </w:r>
            <w:r w:rsidR="001B2614" w:rsidRPr="00360D59">
              <w:rPr>
                <w:rFonts w:ascii="Times New Roman" w:hint="eastAsia"/>
                <w:sz w:val="22"/>
                <w:szCs w:val="22"/>
              </w:rPr>
              <w:t>定外，</w:t>
            </w:r>
            <w:r w:rsidRPr="00360D59">
              <w:rPr>
                <w:rFonts w:hint="eastAsia"/>
                <w:sz w:val="22"/>
                <w:szCs w:val="22"/>
              </w:rPr>
              <w:t>自開始櫃檯買賣日起屆滿六個月後，得領回其二分之一</w:t>
            </w:r>
            <w:r w:rsidR="001B2614" w:rsidRPr="00360D59">
              <w:rPr>
                <w:rFonts w:hint="eastAsia"/>
                <w:sz w:val="22"/>
                <w:szCs w:val="22"/>
              </w:rPr>
              <w:t>；屆滿一年後，得全</w:t>
            </w:r>
            <w:r w:rsidR="001B2614" w:rsidRPr="00360D59">
              <w:rPr>
                <w:rFonts w:hint="eastAsia"/>
                <w:sz w:val="22"/>
                <w:szCs w:val="22"/>
              </w:rPr>
              <w:lastRenderedPageBreak/>
              <w:t>數領回</w:t>
            </w:r>
            <w:r w:rsidRPr="00360D59">
              <w:rPr>
                <w:rFonts w:hint="eastAsia"/>
                <w:sz w:val="22"/>
                <w:szCs w:val="22"/>
              </w:rPr>
              <w:t>。</w:t>
            </w:r>
          </w:p>
          <w:p w:rsidR="001B2614" w:rsidRPr="00360D59" w:rsidRDefault="001B2614" w:rsidP="00B64153">
            <w:pPr>
              <w:pStyle w:val="a8"/>
              <w:numPr>
                <w:ilvl w:val="0"/>
                <w:numId w:val="17"/>
              </w:numPr>
              <w:tabs>
                <w:tab w:val="clear" w:pos="417"/>
              </w:tabs>
              <w:spacing w:line="320" w:lineRule="exact"/>
              <w:ind w:left="454" w:right="0" w:hanging="454"/>
              <w:rPr>
                <w:rFonts w:ascii="Times New Roman" w:hint="eastAsia"/>
                <w:sz w:val="22"/>
                <w:szCs w:val="22"/>
              </w:rPr>
            </w:pPr>
            <w:r w:rsidRPr="00B64153">
              <w:rPr>
                <w:rFonts w:hint="eastAsia"/>
                <w:sz w:val="22"/>
                <w:szCs w:val="22"/>
              </w:rPr>
              <w:t>科技</w:t>
            </w:r>
            <w:r w:rsidRPr="00360D59">
              <w:rPr>
                <w:rFonts w:ascii="Times New Roman" w:hint="eastAsia"/>
                <w:sz w:val="22"/>
                <w:szCs w:val="22"/>
              </w:rPr>
              <w:t>事業及依前條第一項第六款「淨值、營業收入及營業活動現金流量」標準申請第一上櫃者</w:t>
            </w:r>
            <w:r w:rsidRPr="00360D59">
              <w:rPr>
                <w:rFonts w:ascii="Times New Roman" w:hint="eastAsia"/>
                <w:sz w:val="22"/>
                <w:szCs w:val="22"/>
              </w:rPr>
              <w:t>(</w:t>
            </w:r>
            <w:r w:rsidRPr="00360D59">
              <w:rPr>
                <w:rFonts w:ascii="Times New Roman" w:hint="eastAsia"/>
                <w:sz w:val="22"/>
                <w:szCs w:val="22"/>
              </w:rPr>
              <w:t>以下簡稱依「淨值、營業收入及營業活動現金流量」標準申請上櫃者</w:t>
            </w:r>
            <w:r w:rsidRPr="00360D59">
              <w:rPr>
                <w:rFonts w:ascii="Times New Roman" w:hint="eastAsia"/>
                <w:sz w:val="22"/>
                <w:szCs w:val="22"/>
              </w:rPr>
              <w:t>)</w:t>
            </w:r>
            <w:r w:rsidRPr="00360D59">
              <w:rPr>
                <w:rFonts w:ascii="Times New Roman" w:hint="eastAsia"/>
                <w:sz w:val="22"/>
                <w:szCs w:val="22"/>
              </w:rPr>
              <w:t>，依規定提交集中保管之股票，自開始櫃檯買賣日起</w:t>
            </w:r>
            <w:r w:rsidR="008558F0" w:rsidRPr="00B64153">
              <w:rPr>
                <w:rFonts w:ascii="Times New Roman" w:hint="eastAsia"/>
                <w:sz w:val="22"/>
                <w:szCs w:val="22"/>
              </w:rPr>
              <w:t>屆滿六個月後，得領回其四分之一，其後每屆滿六個月可繼續領回四分之一</w:t>
            </w:r>
            <w:r w:rsidRPr="00360D59">
              <w:rPr>
                <w:rFonts w:ascii="Times New Roman" w:hint="eastAsia"/>
                <w:sz w:val="22"/>
                <w:szCs w:val="22"/>
              </w:rPr>
              <w:t>；屆滿二年後，得全數領回。</w:t>
            </w:r>
          </w:p>
          <w:p w:rsidR="00B95840" w:rsidRPr="00360D59" w:rsidRDefault="00B95840" w:rsidP="00360D59">
            <w:pPr>
              <w:pStyle w:val="a8"/>
              <w:numPr>
                <w:ilvl w:val="0"/>
                <w:numId w:val="17"/>
              </w:numPr>
              <w:tabs>
                <w:tab w:val="clear" w:pos="417"/>
              </w:tabs>
              <w:spacing w:line="320" w:lineRule="exact"/>
              <w:ind w:left="454" w:right="0" w:hanging="454"/>
              <w:rPr>
                <w:rFonts w:hint="eastAsia"/>
                <w:sz w:val="22"/>
                <w:szCs w:val="22"/>
              </w:rPr>
            </w:pPr>
            <w:r w:rsidRPr="00360D59">
              <w:rPr>
                <w:rFonts w:hint="eastAsia"/>
                <w:sz w:val="22"/>
                <w:szCs w:val="22"/>
              </w:rPr>
              <w:t>股票之保管效力不因原持有人身分變更而受影響。</w:t>
            </w:r>
          </w:p>
          <w:p w:rsidR="00B95840" w:rsidRPr="00360D59" w:rsidRDefault="005553A6" w:rsidP="00360D59">
            <w:pPr>
              <w:pStyle w:val="a8"/>
              <w:numPr>
                <w:ilvl w:val="0"/>
                <w:numId w:val="17"/>
              </w:numPr>
              <w:tabs>
                <w:tab w:val="clear" w:pos="417"/>
              </w:tabs>
              <w:spacing w:line="320" w:lineRule="exact"/>
              <w:ind w:left="680" w:right="0" w:hanging="680"/>
              <w:rPr>
                <w:rFonts w:hint="eastAsia"/>
                <w:sz w:val="22"/>
                <w:szCs w:val="22"/>
              </w:rPr>
            </w:pPr>
            <w:r w:rsidRPr="00360D59">
              <w:rPr>
                <w:rFonts w:hint="eastAsia"/>
                <w:sz w:val="22"/>
                <w:szCs w:val="22"/>
              </w:rPr>
              <w:t>股票應集中保管人員於保管期間內不得中途解約，保管憑證不得轉讓或質押。</w:t>
            </w:r>
          </w:p>
          <w:p w:rsidR="00B95840" w:rsidRPr="00360D59" w:rsidRDefault="00B95840" w:rsidP="00360D59">
            <w:pPr>
              <w:pStyle w:val="a8"/>
              <w:numPr>
                <w:ilvl w:val="0"/>
                <w:numId w:val="17"/>
              </w:numPr>
              <w:tabs>
                <w:tab w:val="clear" w:pos="417"/>
              </w:tabs>
              <w:spacing w:line="320" w:lineRule="exact"/>
              <w:ind w:left="680" w:right="0" w:hanging="680"/>
              <w:rPr>
                <w:rFonts w:hint="eastAsia"/>
                <w:sz w:val="22"/>
                <w:szCs w:val="22"/>
              </w:rPr>
            </w:pPr>
            <w:r w:rsidRPr="00360D59">
              <w:rPr>
                <w:rFonts w:hint="eastAsia"/>
                <w:sz w:val="22"/>
                <w:szCs w:val="22"/>
              </w:rPr>
              <w:t>依規定辦理股票集中保管後，於集中保管期間屆滿前，遇有辦理提交集中保管之股票，因法院之執行命令或其他原因被領回，致集中保管之股票數量低於保管期間內依規定計算應有之股數時，應由外國發行人之負責人於一個月內協調補足之。</w:t>
            </w:r>
          </w:p>
          <w:p w:rsidR="00B95840" w:rsidRPr="00360D59" w:rsidRDefault="00B95840" w:rsidP="00360D59">
            <w:pPr>
              <w:pStyle w:val="a8"/>
              <w:numPr>
                <w:ilvl w:val="0"/>
                <w:numId w:val="17"/>
              </w:numPr>
              <w:tabs>
                <w:tab w:val="clear" w:pos="417"/>
              </w:tabs>
              <w:spacing w:line="320" w:lineRule="exact"/>
              <w:ind w:left="680" w:right="0" w:hanging="680"/>
              <w:rPr>
                <w:rFonts w:hint="eastAsia"/>
                <w:sz w:val="22"/>
                <w:szCs w:val="22"/>
              </w:rPr>
            </w:pPr>
            <w:r w:rsidRPr="00360D59">
              <w:rPr>
                <w:rFonts w:hint="eastAsia"/>
                <w:sz w:val="22"/>
                <w:szCs w:val="22"/>
              </w:rPr>
              <w:t>上櫃公司未依規定補足集中保管股數時，本中心得依個案處以新</w:t>
            </w:r>
            <w:r w:rsidR="001B2614" w:rsidRPr="00360D59">
              <w:rPr>
                <w:rFonts w:hint="eastAsia"/>
                <w:sz w:val="22"/>
                <w:szCs w:val="22"/>
              </w:rPr>
              <w:t>臺</w:t>
            </w:r>
            <w:r w:rsidRPr="00360D59">
              <w:rPr>
                <w:rFonts w:hint="eastAsia"/>
                <w:sz w:val="22"/>
                <w:szCs w:val="22"/>
              </w:rPr>
              <w:t>幣五萬元之違約金，並函知上櫃公司於文到日起算二日內辦理，如未再依限辦理者，得按日處以新</w:t>
            </w:r>
            <w:r w:rsidR="001B2614" w:rsidRPr="00360D59">
              <w:rPr>
                <w:rFonts w:hint="eastAsia"/>
                <w:sz w:val="22"/>
                <w:szCs w:val="22"/>
              </w:rPr>
              <w:t>臺</w:t>
            </w:r>
            <w:r w:rsidRPr="00360D59">
              <w:rPr>
                <w:rFonts w:hint="eastAsia"/>
                <w:sz w:val="22"/>
                <w:szCs w:val="22"/>
              </w:rPr>
              <w:t>幣一萬元之違約金，至辦理之日為止。</w:t>
            </w:r>
          </w:p>
        </w:tc>
        <w:tc>
          <w:tcPr>
            <w:tcW w:w="1249" w:type="dxa"/>
          </w:tcPr>
          <w:p w:rsidR="00B95840" w:rsidRPr="00360D59" w:rsidRDefault="00B95840" w:rsidP="00360D59">
            <w:pPr>
              <w:spacing w:line="320" w:lineRule="exact"/>
              <w:ind w:left="57"/>
              <w:jc w:val="center"/>
              <w:rPr>
                <w:rFonts w:ascii="標楷體" w:eastAsia="標楷體" w:hAnsi="Arial" w:hint="eastAsia"/>
                <w:sz w:val="22"/>
                <w:szCs w:val="22"/>
              </w:rPr>
            </w:pPr>
            <w:r w:rsidRPr="00360D59">
              <w:rPr>
                <w:rFonts w:ascii="標楷體" w:eastAsia="標楷體" w:hAnsi="Arial" w:hint="eastAsia"/>
                <w:sz w:val="22"/>
                <w:szCs w:val="22"/>
              </w:rPr>
              <w:lastRenderedPageBreak/>
              <w:t>□是 □否</w:t>
            </w:r>
          </w:p>
        </w:tc>
      </w:tr>
    </w:tbl>
    <w:p w:rsidR="00B95840" w:rsidRDefault="00B95840" w:rsidP="00E6056C">
      <w:pPr>
        <w:spacing w:after="240"/>
        <w:jc w:val="both"/>
        <w:rPr>
          <w:rFonts w:ascii="Arial" w:eastAsia="標楷體" w:hAnsi="Arial" w:hint="eastAsia"/>
        </w:rPr>
      </w:pPr>
    </w:p>
    <w:sectPr w:rsidR="00B95840">
      <w:footerReference w:type="even" r:id="rId7"/>
      <w:footerReference w:type="default" r:id="rId8"/>
      <w:pgSz w:w="11906" w:h="16838"/>
      <w:pgMar w:top="794" w:right="748" w:bottom="96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65E" w:rsidRDefault="0037465E">
      <w:r>
        <w:separator/>
      </w:r>
    </w:p>
  </w:endnote>
  <w:endnote w:type="continuationSeparator" w:id="0">
    <w:p w:rsidR="0037465E" w:rsidRDefault="0037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840" w:rsidRDefault="00B9584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95840" w:rsidRDefault="00B958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840" w:rsidRDefault="00B9584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E3EA0">
      <w:rPr>
        <w:rStyle w:val="a4"/>
        <w:noProof/>
      </w:rPr>
      <w:t>4</w:t>
    </w:r>
    <w:r>
      <w:rPr>
        <w:rStyle w:val="a4"/>
      </w:rPr>
      <w:fldChar w:fldCharType="end"/>
    </w:r>
  </w:p>
  <w:p w:rsidR="00B95840" w:rsidRDefault="00B958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65E" w:rsidRDefault="0037465E">
      <w:r>
        <w:separator/>
      </w:r>
    </w:p>
  </w:footnote>
  <w:footnote w:type="continuationSeparator" w:id="0">
    <w:p w:rsidR="0037465E" w:rsidRDefault="0037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0AE"/>
    <w:multiLevelType w:val="hybridMultilevel"/>
    <w:tmpl w:val="8FD67858"/>
    <w:lvl w:ilvl="0" w:tplc="6E5E646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CA2F0F"/>
    <w:multiLevelType w:val="hybridMultilevel"/>
    <w:tmpl w:val="8F3A0E64"/>
    <w:lvl w:ilvl="0" w:tplc="6ED207DA">
      <w:start w:val="1"/>
      <w:numFmt w:val="ideographLegalTraditional"/>
      <w:lvlText w:val="%1、"/>
      <w:lvlJc w:val="left"/>
      <w:pPr>
        <w:tabs>
          <w:tab w:val="num" w:pos="480"/>
        </w:tabs>
        <w:ind w:left="480" w:hanging="480"/>
      </w:pPr>
      <w:rPr>
        <w:rFonts w:ascii="Arial" w:hAnsi="Arial"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9F1706"/>
    <w:multiLevelType w:val="singleLevel"/>
    <w:tmpl w:val="EE7EF9EA"/>
    <w:lvl w:ilvl="0">
      <w:start w:val="1"/>
      <w:numFmt w:val="taiwaneseCountingThousand"/>
      <w:lvlText w:val="（%1）"/>
      <w:lvlJc w:val="left"/>
      <w:pPr>
        <w:tabs>
          <w:tab w:val="num" w:pos="840"/>
        </w:tabs>
        <w:ind w:left="840" w:hanging="720"/>
      </w:pPr>
      <w:rPr>
        <w:rFonts w:hint="eastAsia"/>
      </w:rPr>
    </w:lvl>
  </w:abstractNum>
  <w:abstractNum w:abstractNumId="3" w15:restartNumberingAfterBreak="0">
    <w:nsid w:val="1623735E"/>
    <w:multiLevelType w:val="hybridMultilevel"/>
    <w:tmpl w:val="B74C7FB2"/>
    <w:lvl w:ilvl="0" w:tplc="445CE74A">
      <w:start w:val="1"/>
      <w:numFmt w:val="taiwaneseCountingThousand"/>
      <w:lvlText w:val="%1、"/>
      <w:lvlJc w:val="left"/>
      <w:pPr>
        <w:ind w:left="480" w:hanging="480"/>
      </w:pPr>
      <w:rPr>
        <w:rFonts w:hint="eastAsia"/>
        <w:strike w:val="0"/>
        <w:color w:val="FF0000"/>
        <w:sz w:val="22"/>
        <w:szCs w:val="22"/>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AE1393"/>
    <w:multiLevelType w:val="hybridMultilevel"/>
    <w:tmpl w:val="15AA63F4"/>
    <w:lvl w:ilvl="0" w:tplc="0D0A7C5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396520"/>
    <w:multiLevelType w:val="hybridMultilevel"/>
    <w:tmpl w:val="46CA3EF8"/>
    <w:lvl w:ilvl="0" w:tplc="D7A2EF3C">
      <w:start w:val="1"/>
      <w:numFmt w:val="taiwaneseCountingThousand"/>
      <w:lvlText w:val="%1、"/>
      <w:lvlJc w:val="left"/>
      <w:pPr>
        <w:tabs>
          <w:tab w:val="num" w:pos="417"/>
        </w:tabs>
        <w:ind w:left="417" w:hanging="360"/>
      </w:pPr>
      <w:rPr>
        <w:rFonts w:hint="eastAsia"/>
        <w:strike w:val="0"/>
        <w:color w:val="auto"/>
        <w:sz w:val="22"/>
        <w:szCs w:val="22"/>
      </w:rPr>
    </w:lvl>
    <w:lvl w:ilvl="1" w:tplc="1B12DABE">
      <w:start w:val="1"/>
      <w:numFmt w:val="taiwaneseCountingThousand"/>
      <w:lvlText w:val="(%2)"/>
      <w:lvlJc w:val="left"/>
      <w:pPr>
        <w:tabs>
          <w:tab w:val="num" w:pos="1017"/>
        </w:tabs>
        <w:ind w:left="1017" w:hanging="480"/>
      </w:pPr>
      <w:rPr>
        <w:rFonts w:ascii="標楷體" w:eastAsia="標楷體" w:hAnsi="標楷體" w:hint="default"/>
        <w:color w:val="auto"/>
        <w:u w:val="none"/>
      </w:r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6" w15:restartNumberingAfterBreak="0">
    <w:nsid w:val="1CE06395"/>
    <w:multiLevelType w:val="hybridMultilevel"/>
    <w:tmpl w:val="BD14385E"/>
    <w:lvl w:ilvl="0" w:tplc="FB465A86">
      <w:start w:val="1"/>
      <w:numFmt w:val="taiwaneseCountingThousand"/>
      <w:lvlText w:val="%1、"/>
      <w:lvlJc w:val="left"/>
      <w:pPr>
        <w:ind w:left="480" w:hanging="480"/>
      </w:pPr>
      <w:rPr>
        <w:rFonts w:hint="eastAsia"/>
        <w:strike w:val="0"/>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3B1E5C"/>
    <w:multiLevelType w:val="singleLevel"/>
    <w:tmpl w:val="B0DECF54"/>
    <w:lvl w:ilvl="0">
      <w:start w:val="1"/>
      <w:numFmt w:val="decimal"/>
      <w:lvlText w:val="(%1)"/>
      <w:lvlJc w:val="left"/>
      <w:pPr>
        <w:tabs>
          <w:tab w:val="num" w:pos="1080"/>
        </w:tabs>
        <w:ind w:left="1080" w:hanging="360"/>
      </w:pPr>
      <w:rPr>
        <w:rFonts w:hint="eastAsia"/>
      </w:rPr>
    </w:lvl>
  </w:abstractNum>
  <w:abstractNum w:abstractNumId="8" w15:restartNumberingAfterBreak="0">
    <w:nsid w:val="31CF0ED8"/>
    <w:multiLevelType w:val="hybridMultilevel"/>
    <w:tmpl w:val="43D22944"/>
    <w:lvl w:ilvl="0" w:tplc="7F9CFE1C">
      <w:start w:val="1"/>
      <w:numFmt w:val="taiwaneseCountingThousand"/>
      <w:lvlText w:val="（%1）"/>
      <w:lvlJc w:val="left"/>
      <w:pPr>
        <w:tabs>
          <w:tab w:val="num" w:pos="720"/>
        </w:tabs>
        <w:ind w:left="720" w:hanging="720"/>
      </w:pPr>
      <w:rPr>
        <w:rFonts w:ascii="標楷體" w:hAnsi="Courier New"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26A520B"/>
    <w:multiLevelType w:val="hybridMultilevel"/>
    <w:tmpl w:val="80C81CD8"/>
    <w:lvl w:ilvl="0" w:tplc="FB0A650A">
      <w:start w:val="1"/>
      <w:numFmt w:val="taiwaneseCountingThousand"/>
      <w:lvlText w:val="%1、"/>
      <w:lvlJc w:val="left"/>
      <w:pPr>
        <w:tabs>
          <w:tab w:val="num" w:pos="417"/>
        </w:tabs>
        <w:ind w:left="417" w:hanging="360"/>
      </w:pPr>
      <w:rPr>
        <w:rFonts w:hint="eastAsia"/>
        <w:strike/>
        <w:color w:val="FF0000"/>
        <w:lang w:val="en-US"/>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41C202DA"/>
    <w:multiLevelType w:val="hybridMultilevel"/>
    <w:tmpl w:val="6F64ED3C"/>
    <w:lvl w:ilvl="0" w:tplc="8C16CD3E">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47250AF6"/>
    <w:multiLevelType w:val="hybridMultilevel"/>
    <w:tmpl w:val="3E2A5D66"/>
    <w:lvl w:ilvl="0" w:tplc="9E48D68E">
      <w:start w:val="1"/>
      <w:numFmt w:val="decimal"/>
      <w:lvlText w:val="%1."/>
      <w:lvlJc w:val="left"/>
      <w:pPr>
        <w:tabs>
          <w:tab w:val="num" w:pos="1080"/>
        </w:tabs>
        <w:ind w:left="1080" w:hanging="360"/>
      </w:pPr>
      <w:rPr>
        <w:rFonts w:hint="eastAsia"/>
        <w:color w:val="auto"/>
      </w:rPr>
    </w:lvl>
    <w:lvl w:ilvl="1" w:tplc="937214EC">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52E85913"/>
    <w:multiLevelType w:val="singleLevel"/>
    <w:tmpl w:val="C93CA2A4"/>
    <w:lvl w:ilvl="0">
      <w:start w:val="1"/>
      <w:numFmt w:val="taiwaneseCountingThousand"/>
      <w:lvlText w:val="%1、"/>
      <w:lvlJc w:val="left"/>
      <w:pPr>
        <w:tabs>
          <w:tab w:val="num" w:pos="2565"/>
        </w:tabs>
        <w:ind w:left="2565" w:hanging="660"/>
      </w:pPr>
      <w:rPr>
        <w:rFonts w:hint="eastAsia"/>
      </w:rPr>
    </w:lvl>
  </w:abstractNum>
  <w:abstractNum w:abstractNumId="13" w15:restartNumberingAfterBreak="0">
    <w:nsid w:val="5BD0760E"/>
    <w:multiLevelType w:val="hybridMultilevel"/>
    <w:tmpl w:val="CED447B0"/>
    <w:lvl w:ilvl="0" w:tplc="D02CE8C0">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5C7C5C02"/>
    <w:multiLevelType w:val="singleLevel"/>
    <w:tmpl w:val="20329882"/>
    <w:lvl w:ilvl="0">
      <w:start w:val="1"/>
      <w:numFmt w:val="decimal"/>
      <w:lvlText w:val="%1."/>
      <w:lvlJc w:val="left"/>
      <w:pPr>
        <w:tabs>
          <w:tab w:val="num" w:pos="180"/>
        </w:tabs>
        <w:ind w:left="180" w:hanging="180"/>
      </w:pPr>
      <w:rPr>
        <w:rFonts w:hint="eastAsia"/>
      </w:rPr>
    </w:lvl>
  </w:abstractNum>
  <w:abstractNum w:abstractNumId="15" w15:restartNumberingAfterBreak="0">
    <w:nsid w:val="62161F69"/>
    <w:multiLevelType w:val="hybridMultilevel"/>
    <w:tmpl w:val="DCAE7E78"/>
    <w:lvl w:ilvl="0" w:tplc="CCC2AD8E">
      <w:start w:val="1"/>
      <w:numFmt w:val="taiwaneseCountingThousand"/>
      <w:lvlText w:val="（%1）"/>
      <w:lvlJc w:val="left"/>
      <w:pPr>
        <w:tabs>
          <w:tab w:val="num" w:pos="720"/>
        </w:tabs>
        <w:ind w:left="720" w:hanging="720"/>
      </w:pPr>
      <w:rPr>
        <w:rFonts w:hAnsi="Courier New" w:hint="eastAsia"/>
        <w:color w:val="auto"/>
      </w:rPr>
    </w:lvl>
    <w:lvl w:ilvl="1" w:tplc="40CC65B0">
      <w:start w:val="1"/>
      <w:numFmt w:val="decimal"/>
      <w:lvlText w:val="%2."/>
      <w:lvlJc w:val="left"/>
      <w:pPr>
        <w:tabs>
          <w:tab w:val="num" w:pos="840"/>
        </w:tabs>
        <w:ind w:left="840" w:hanging="360"/>
      </w:pPr>
      <w:rPr>
        <w:rFonts w:ascii="Times New Roman" w:hAnsi="Times New Roman" w:hint="eastAsia"/>
        <w:u w:val="none"/>
      </w:rPr>
    </w:lvl>
    <w:lvl w:ilvl="2" w:tplc="3134FBF6">
      <w:start w:val="1"/>
      <w:numFmt w:val="decimal"/>
      <w:lvlText w:val="%3."/>
      <w:lvlJc w:val="left"/>
      <w:pPr>
        <w:tabs>
          <w:tab w:val="num" w:pos="1320"/>
        </w:tabs>
        <w:ind w:left="1320" w:hanging="360"/>
      </w:pPr>
      <w:rPr>
        <w:rFonts w:hAnsi="Courier New"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5681B11"/>
    <w:multiLevelType w:val="singleLevel"/>
    <w:tmpl w:val="EE7EF9EA"/>
    <w:lvl w:ilvl="0">
      <w:start w:val="1"/>
      <w:numFmt w:val="taiwaneseCountingThousand"/>
      <w:lvlText w:val="（%1）"/>
      <w:lvlJc w:val="left"/>
      <w:pPr>
        <w:tabs>
          <w:tab w:val="num" w:pos="840"/>
        </w:tabs>
        <w:ind w:left="840" w:hanging="720"/>
      </w:pPr>
      <w:rPr>
        <w:rFonts w:hint="eastAsia"/>
      </w:rPr>
    </w:lvl>
  </w:abstractNum>
  <w:abstractNum w:abstractNumId="17" w15:restartNumberingAfterBreak="0">
    <w:nsid w:val="69900987"/>
    <w:multiLevelType w:val="hybridMultilevel"/>
    <w:tmpl w:val="753E706A"/>
    <w:lvl w:ilvl="0" w:tplc="DE4C93A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6C263348"/>
    <w:multiLevelType w:val="hybridMultilevel"/>
    <w:tmpl w:val="15F225F8"/>
    <w:lvl w:ilvl="0" w:tplc="A4700E6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EC5564C"/>
    <w:multiLevelType w:val="hybridMultilevel"/>
    <w:tmpl w:val="1A0C8452"/>
    <w:lvl w:ilvl="0" w:tplc="0CB6FD76">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74873005"/>
    <w:multiLevelType w:val="hybridMultilevel"/>
    <w:tmpl w:val="EDB0FD38"/>
    <w:lvl w:ilvl="0" w:tplc="E6784556">
      <w:start w:val="1"/>
      <w:numFmt w:val="decimal"/>
      <w:lvlText w:val="(%1)"/>
      <w:lvlJc w:val="left"/>
      <w:pPr>
        <w:ind w:left="537" w:hanging="480"/>
      </w:pPr>
      <w:rPr>
        <w:rFonts w:hint="eastAsia"/>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1" w15:restartNumberingAfterBreak="0">
    <w:nsid w:val="77A12DD0"/>
    <w:multiLevelType w:val="singleLevel"/>
    <w:tmpl w:val="803AAF78"/>
    <w:lvl w:ilvl="0">
      <w:start w:val="2"/>
      <w:numFmt w:val="bullet"/>
      <w:lvlText w:val="□"/>
      <w:lvlJc w:val="left"/>
      <w:pPr>
        <w:tabs>
          <w:tab w:val="num" w:pos="960"/>
        </w:tabs>
        <w:ind w:left="960" w:hanging="240"/>
      </w:pPr>
      <w:rPr>
        <w:rFonts w:ascii="標楷體" w:eastAsia="標楷體" w:hAnsi="Times New Roman" w:hint="eastAsia"/>
      </w:rPr>
    </w:lvl>
  </w:abstractNum>
  <w:num w:numId="1">
    <w:abstractNumId w:val="1"/>
  </w:num>
  <w:num w:numId="2">
    <w:abstractNumId w:val="19"/>
  </w:num>
  <w:num w:numId="3">
    <w:abstractNumId w:val="9"/>
  </w:num>
  <w:num w:numId="4">
    <w:abstractNumId w:val="7"/>
  </w:num>
  <w:num w:numId="5">
    <w:abstractNumId w:val="16"/>
  </w:num>
  <w:num w:numId="6">
    <w:abstractNumId w:val="2"/>
  </w:num>
  <w:num w:numId="7">
    <w:abstractNumId w:val="15"/>
  </w:num>
  <w:num w:numId="8">
    <w:abstractNumId w:val="10"/>
  </w:num>
  <w:num w:numId="9">
    <w:abstractNumId w:val="13"/>
  </w:num>
  <w:num w:numId="10">
    <w:abstractNumId w:val="11"/>
  </w:num>
  <w:num w:numId="11">
    <w:abstractNumId w:val="8"/>
  </w:num>
  <w:num w:numId="12">
    <w:abstractNumId w:val="12"/>
  </w:num>
  <w:num w:numId="13">
    <w:abstractNumId w:val="21"/>
  </w:num>
  <w:num w:numId="14">
    <w:abstractNumId w:val="14"/>
  </w:num>
  <w:num w:numId="15">
    <w:abstractNumId w:val="18"/>
  </w:num>
  <w:num w:numId="16">
    <w:abstractNumId w:val="17"/>
  </w:num>
  <w:num w:numId="17">
    <w:abstractNumId w:val="5"/>
  </w:num>
  <w:num w:numId="18">
    <w:abstractNumId w:val="20"/>
  </w:num>
  <w:num w:numId="19">
    <w:abstractNumId w:val="0"/>
  </w:num>
  <w:num w:numId="20">
    <w:abstractNumId w:val="6"/>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5B"/>
    <w:rsid w:val="000832C0"/>
    <w:rsid w:val="00163C90"/>
    <w:rsid w:val="001A7447"/>
    <w:rsid w:val="001B2614"/>
    <w:rsid w:val="001F2938"/>
    <w:rsid w:val="00250EEE"/>
    <w:rsid w:val="002702EE"/>
    <w:rsid w:val="00282FBB"/>
    <w:rsid w:val="002A48D6"/>
    <w:rsid w:val="00315C21"/>
    <w:rsid w:val="0031685B"/>
    <w:rsid w:val="00360D59"/>
    <w:rsid w:val="0037465E"/>
    <w:rsid w:val="003E3EA0"/>
    <w:rsid w:val="00511A0C"/>
    <w:rsid w:val="005553A6"/>
    <w:rsid w:val="00563C51"/>
    <w:rsid w:val="00586644"/>
    <w:rsid w:val="00596300"/>
    <w:rsid w:val="005D00A4"/>
    <w:rsid w:val="00677B91"/>
    <w:rsid w:val="0069485B"/>
    <w:rsid w:val="006B078F"/>
    <w:rsid w:val="006B507D"/>
    <w:rsid w:val="006C01FF"/>
    <w:rsid w:val="006E57B9"/>
    <w:rsid w:val="00754492"/>
    <w:rsid w:val="00791AE9"/>
    <w:rsid w:val="008558F0"/>
    <w:rsid w:val="00875ECF"/>
    <w:rsid w:val="008772F7"/>
    <w:rsid w:val="008C1967"/>
    <w:rsid w:val="008F7B00"/>
    <w:rsid w:val="009522E6"/>
    <w:rsid w:val="00970C25"/>
    <w:rsid w:val="009D6852"/>
    <w:rsid w:val="009E461E"/>
    <w:rsid w:val="009F2F8B"/>
    <w:rsid w:val="00A04770"/>
    <w:rsid w:val="00AA0D8E"/>
    <w:rsid w:val="00AC6DB7"/>
    <w:rsid w:val="00AF39E1"/>
    <w:rsid w:val="00B140BA"/>
    <w:rsid w:val="00B20763"/>
    <w:rsid w:val="00B64153"/>
    <w:rsid w:val="00B95840"/>
    <w:rsid w:val="00BF3207"/>
    <w:rsid w:val="00C5238E"/>
    <w:rsid w:val="00D452E9"/>
    <w:rsid w:val="00E6056C"/>
    <w:rsid w:val="00E7042A"/>
    <w:rsid w:val="00EC5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B0CC8B-2995-4D1A-A3D4-A78628DB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ind w:leftChars="299" w:left="1049" w:hangingChars="138" w:hanging="331"/>
    </w:pPr>
    <w:rPr>
      <w:rFonts w:ascii="標楷體" w:eastAsia="標楷體"/>
    </w:rPr>
  </w:style>
  <w:style w:type="paragraph" w:styleId="a6">
    <w:name w:val="Body Text"/>
    <w:basedOn w:val="a"/>
    <w:pPr>
      <w:adjustRightInd w:val="0"/>
      <w:spacing w:after="120" w:line="360" w:lineRule="atLeast"/>
      <w:textAlignment w:val="baseline"/>
    </w:pPr>
    <w:rPr>
      <w:kern w:val="0"/>
      <w:szCs w:val="20"/>
    </w:rPr>
  </w:style>
  <w:style w:type="paragraph" w:styleId="2">
    <w:name w:val="Body Text Indent 2"/>
    <w:basedOn w:val="a"/>
    <w:pPr>
      <w:ind w:leftChars="200" w:left="720" w:hangingChars="100" w:hanging="240"/>
    </w:pPr>
    <w:rPr>
      <w:rFonts w:eastAsia="標楷體"/>
      <w:u w:val="single"/>
    </w:rPr>
  </w:style>
  <w:style w:type="paragraph" w:styleId="3">
    <w:name w:val="Body Text Indent 3"/>
    <w:basedOn w:val="a"/>
    <w:pPr>
      <w:ind w:leftChars="298" w:left="1051" w:hangingChars="140" w:hanging="336"/>
    </w:pPr>
    <w:rPr>
      <w:rFonts w:ascii="標楷體" w:eastAsia="標楷體"/>
    </w:rPr>
  </w:style>
  <w:style w:type="paragraph" w:styleId="a7">
    <w:name w:val="Plain Text"/>
    <w:basedOn w:val="a"/>
    <w:rPr>
      <w:rFonts w:ascii="細明體" w:eastAsia="細明體" w:hAnsi="Courier New"/>
      <w:szCs w:val="20"/>
    </w:rPr>
  </w:style>
  <w:style w:type="paragraph" w:styleId="a8">
    <w:name w:val="Block Text"/>
    <w:basedOn w:val="a"/>
    <w:pPr>
      <w:spacing w:line="360" w:lineRule="exact"/>
      <w:ind w:left="2520" w:right="57" w:hanging="988"/>
      <w:jc w:val="both"/>
    </w:pPr>
    <w:rPr>
      <w:rFonts w:ascii="標楷體" w:eastAsia="標楷體"/>
      <w:snapToGrid w:val="0"/>
      <w:szCs w:val="20"/>
    </w:rPr>
  </w:style>
  <w:style w:type="paragraph" w:styleId="a9">
    <w:name w:val="Salutation"/>
    <w:basedOn w:val="a"/>
    <w:next w:val="a"/>
    <w:link w:val="aa"/>
    <w:rPr>
      <w:szCs w:val="20"/>
    </w:rPr>
  </w:style>
  <w:style w:type="paragraph" w:customStyle="1" w:styleId="ab">
    <w:name w:val="樣式一"/>
    <w:basedOn w:val="a"/>
    <w:pPr>
      <w:tabs>
        <w:tab w:val="left" w:pos="10588"/>
        <w:tab w:val="left" w:pos="10948"/>
        <w:tab w:val="left" w:pos="14058"/>
      </w:tabs>
      <w:autoSpaceDE w:val="0"/>
      <w:autoSpaceDN w:val="0"/>
      <w:ind w:right="202"/>
    </w:pPr>
    <w:rPr>
      <w:rFonts w:ascii="標楷體" w:eastAsia="標楷體"/>
      <w:szCs w:val="20"/>
    </w:rPr>
  </w:style>
  <w:style w:type="paragraph" w:styleId="ac">
    <w:name w:val="Note Heading"/>
    <w:basedOn w:val="a"/>
    <w:next w:val="a"/>
    <w:pPr>
      <w:adjustRightInd w:val="0"/>
      <w:spacing w:line="360" w:lineRule="atLeast"/>
      <w:jc w:val="center"/>
      <w:textAlignment w:val="baseline"/>
    </w:pPr>
    <w:rPr>
      <w:kern w:val="0"/>
      <w:szCs w:val="20"/>
    </w:rPr>
  </w:style>
  <w:style w:type="paragraph" w:customStyle="1" w:styleId="Char">
    <w:name w:val="字元 字元 Char"/>
    <w:basedOn w:val="a"/>
    <w:pPr>
      <w:widowControl/>
      <w:spacing w:after="160" w:line="240" w:lineRule="exact"/>
    </w:pPr>
    <w:rPr>
      <w:rFonts w:ascii="Arial" w:eastAsia="Times New Roman" w:hAnsi="Arial" w:cs="Arial"/>
      <w:kern w:val="0"/>
      <w:sz w:val="20"/>
      <w:szCs w:val="20"/>
      <w:lang w:eastAsia="en-US"/>
    </w:rPr>
  </w:style>
  <w:style w:type="paragraph" w:styleId="ad">
    <w:name w:val="Balloon Text"/>
    <w:basedOn w:val="a"/>
    <w:semiHidden/>
    <w:unhideWhenUsed/>
    <w:rPr>
      <w:rFonts w:ascii="Cambria" w:hAnsi="Cambria"/>
      <w:sz w:val="18"/>
      <w:szCs w:val="18"/>
    </w:rPr>
  </w:style>
  <w:style w:type="character" w:customStyle="1" w:styleId="ae">
    <w:name w:val="註解方塊文字 字元"/>
    <w:semiHidden/>
    <w:rPr>
      <w:rFonts w:ascii="Cambria" w:eastAsia="新細明體" w:hAnsi="Cambria" w:cs="Times New Roman"/>
      <w:kern w:val="2"/>
      <w:sz w:val="18"/>
      <w:szCs w:val="18"/>
    </w:rPr>
  </w:style>
  <w:style w:type="paragraph" w:styleId="af">
    <w:name w:val="header"/>
    <w:basedOn w:val="a"/>
    <w:unhideWhenUsed/>
    <w:pPr>
      <w:tabs>
        <w:tab w:val="center" w:pos="4153"/>
        <w:tab w:val="right" w:pos="8306"/>
      </w:tabs>
      <w:snapToGrid w:val="0"/>
    </w:pPr>
    <w:rPr>
      <w:sz w:val="20"/>
      <w:szCs w:val="20"/>
    </w:rPr>
  </w:style>
  <w:style w:type="character" w:customStyle="1" w:styleId="af0">
    <w:name w:val="頁首 字元"/>
    <w:semiHidden/>
    <w:rPr>
      <w:kern w:val="2"/>
    </w:rPr>
  </w:style>
  <w:style w:type="character" w:customStyle="1" w:styleId="aa">
    <w:name w:val="問候 字元"/>
    <w:link w:val="a9"/>
    <w:rsid w:val="00875ECF"/>
    <w:rPr>
      <w:kern w:val="2"/>
      <w:sz w:val="24"/>
    </w:rPr>
  </w:style>
  <w:style w:type="character" w:customStyle="1" w:styleId="HTML0">
    <w:name w:val="HTML 預設格式 字元"/>
    <w:link w:val="HTML"/>
    <w:rsid w:val="001B2614"/>
    <w:rPr>
      <w:rFonts w:ascii="Arial Unicode MS" w:eastAsia="Arial Unicode MS" w:hAnsi="Arial Unicode MS" w:cs="Arial Unicode M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2101</Characters>
  <Application>Microsoft Office Word</Application>
  <DocSecurity>0</DocSecurity>
  <Lines>17</Lines>
  <Paragraphs>4</Paragraphs>
  <ScaleCrop>false</ScaleCrop>
  <Company>Hewlett-Packard Company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chenyu</dc:creator>
  <cp:keywords/>
  <cp:lastModifiedBy>劉宏亮</cp:lastModifiedBy>
  <cp:revision>2</cp:revision>
  <cp:lastPrinted>2009-08-17T02:13:00Z</cp:lastPrinted>
  <dcterms:created xsi:type="dcterms:W3CDTF">2020-01-08T06:35:00Z</dcterms:created>
  <dcterms:modified xsi:type="dcterms:W3CDTF">2020-01-08T06:35:00Z</dcterms:modified>
</cp:coreProperties>
</file>