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1307" w14:textId="77777777" w:rsidR="009E3B32" w:rsidRDefault="005C11B9" w:rsidP="0036705D">
      <w:pPr>
        <w:spacing w:before="100" w:beforeAutospacing="1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大陸地區企業透過架設第三地區</w:t>
      </w:r>
      <w:r w:rsidR="006B3E74">
        <w:rPr>
          <w:rFonts w:ascii="標楷體" w:eastAsia="標楷體" w:hAnsi="標楷體" w:hint="eastAsia"/>
          <w:b/>
          <w:sz w:val="36"/>
          <w:szCs w:val="36"/>
        </w:rPr>
        <w:t>控股</w:t>
      </w:r>
      <w:r>
        <w:rPr>
          <w:rFonts w:ascii="標楷體" w:eastAsia="標楷體" w:hAnsi="標楷體" w:hint="eastAsia"/>
          <w:b/>
          <w:sz w:val="36"/>
          <w:szCs w:val="36"/>
        </w:rPr>
        <w:t>事業申請來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5550B8">
        <w:rPr>
          <w:rFonts w:ascii="標楷體" w:eastAsia="標楷體" w:hAnsi="標楷體" w:hint="eastAsia"/>
          <w:b/>
          <w:sz w:val="36"/>
          <w:szCs w:val="36"/>
        </w:rPr>
        <w:t>掛牌</w:t>
      </w:r>
      <w:r>
        <w:rPr>
          <w:rFonts w:ascii="標楷體" w:eastAsia="標楷體" w:hAnsi="標楷體" w:hint="eastAsia"/>
          <w:b/>
          <w:sz w:val="36"/>
          <w:szCs w:val="36"/>
        </w:rPr>
        <w:t>說明</w:t>
      </w:r>
    </w:p>
    <w:p w14:paraId="7DD0C2D0" w14:textId="77777777" w:rsidR="009E3B32" w:rsidRPr="001730DD" w:rsidRDefault="009E3B32" w:rsidP="0036705D">
      <w:pPr>
        <w:pStyle w:val="a7"/>
        <w:numPr>
          <w:ilvl w:val="0"/>
          <w:numId w:val="1"/>
        </w:numPr>
        <w:spacing w:line="480" w:lineRule="exact"/>
        <w:ind w:leftChars="0" w:left="748" w:hanging="748"/>
        <w:jc w:val="both"/>
        <w:rPr>
          <w:rFonts w:ascii="標楷體" w:eastAsia="標楷體" w:hAnsi="標楷體"/>
          <w:sz w:val="32"/>
          <w:szCs w:val="32"/>
        </w:rPr>
      </w:pPr>
      <w:r w:rsidRPr="001730DD">
        <w:rPr>
          <w:rFonts w:ascii="標楷體" w:eastAsia="標楷體" w:hAnsi="標楷體" w:hint="eastAsia"/>
          <w:b/>
          <w:sz w:val="32"/>
          <w:szCs w:val="32"/>
        </w:rPr>
        <w:t>背景說明：</w:t>
      </w:r>
      <w:r w:rsidRPr="001730DD">
        <w:rPr>
          <w:rFonts w:ascii="標楷體" w:eastAsia="標楷體" w:hAnsi="標楷體" w:hint="eastAsia"/>
          <w:sz w:val="32"/>
          <w:szCs w:val="32"/>
        </w:rPr>
        <w:t>金融監督管理委員會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1730DD">
        <w:rPr>
          <w:rFonts w:ascii="標楷體" w:eastAsia="標楷體" w:hAnsi="標楷體" w:hint="eastAsia"/>
          <w:sz w:val="32"/>
          <w:szCs w:val="32"/>
        </w:rPr>
        <w:t>97年</w:t>
      </w:r>
      <w:r>
        <w:rPr>
          <w:rFonts w:ascii="標楷體" w:eastAsia="標楷體" w:hAnsi="標楷體" w:hint="eastAsia"/>
          <w:sz w:val="32"/>
          <w:szCs w:val="32"/>
        </w:rPr>
        <w:t>開放外國企業來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上市（櫃）以來</w:t>
      </w:r>
      <w:r w:rsidRPr="001730DD">
        <w:rPr>
          <w:rFonts w:ascii="標楷體" w:eastAsia="標楷體" w:hAnsi="標楷體" w:hint="eastAsia"/>
          <w:sz w:val="32"/>
          <w:szCs w:val="32"/>
        </w:rPr>
        <w:t>，係以優質</w:t>
      </w:r>
      <w:r>
        <w:rPr>
          <w:rFonts w:ascii="標楷體" w:eastAsia="標楷體" w:hAnsi="標楷體" w:hint="eastAsia"/>
          <w:sz w:val="32"/>
          <w:szCs w:val="32"/>
        </w:rPr>
        <w:t>外國</w:t>
      </w:r>
      <w:r w:rsidRPr="001730DD">
        <w:rPr>
          <w:rFonts w:ascii="標楷體" w:eastAsia="標楷體" w:hAnsi="標楷體" w:hint="eastAsia"/>
          <w:sz w:val="32"/>
          <w:szCs w:val="32"/>
        </w:rPr>
        <w:t>企業為吸引對象，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1730DD">
        <w:rPr>
          <w:rFonts w:ascii="標楷體" w:eastAsia="標楷體" w:hAnsi="標楷體" w:hint="eastAsia"/>
          <w:sz w:val="32"/>
          <w:szCs w:val="32"/>
        </w:rPr>
        <w:t>優先鼓勵海外</w:t>
      </w:r>
      <w:proofErr w:type="gramStart"/>
      <w:r w:rsidRPr="001730D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730DD">
        <w:rPr>
          <w:rFonts w:ascii="標楷體" w:eastAsia="標楷體" w:hAnsi="標楷體" w:hint="eastAsia"/>
          <w:sz w:val="32"/>
          <w:szCs w:val="32"/>
        </w:rPr>
        <w:t>商回</w:t>
      </w:r>
      <w:proofErr w:type="gramStart"/>
      <w:r w:rsidRPr="001730DD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1730DD">
        <w:rPr>
          <w:rFonts w:ascii="標楷體" w:eastAsia="標楷體" w:hAnsi="標楷體" w:hint="eastAsia"/>
          <w:sz w:val="32"/>
          <w:szCs w:val="32"/>
        </w:rPr>
        <w:t>掛牌，</w:t>
      </w:r>
      <w:r w:rsidRPr="009E3B32">
        <w:rPr>
          <w:rFonts w:ascii="標楷體" w:eastAsia="標楷體" w:hAnsi="標楷體" w:hint="eastAsia"/>
          <w:sz w:val="32"/>
          <w:szCs w:val="32"/>
        </w:rPr>
        <w:t>至大陸地區人民、法人及團體等（陸資）直</w:t>
      </w:r>
      <w:r w:rsidR="00F63FC3">
        <w:rPr>
          <w:rFonts w:ascii="標楷體" w:eastAsia="標楷體" w:hAnsi="標楷體" w:hint="eastAsia"/>
          <w:sz w:val="32"/>
          <w:szCs w:val="32"/>
        </w:rPr>
        <w:t>（</w:t>
      </w:r>
      <w:r w:rsidRPr="009E3B32">
        <w:rPr>
          <w:rFonts w:ascii="標楷體" w:eastAsia="標楷體" w:hAnsi="標楷體" w:hint="eastAsia"/>
          <w:sz w:val="32"/>
          <w:szCs w:val="32"/>
        </w:rPr>
        <w:t>間</w:t>
      </w:r>
      <w:r w:rsidR="00F63FC3">
        <w:rPr>
          <w:rFonts w:ascii="標楷體" w:eastAsia="標楷體" w:hAnsi="標楷體" w:hint="eastAsia"/>
          <w:sz w:val="32"/>
          <w:szCs w:val="32"/>
        </w:rPr>
        <w:t>）</w:t>
      </w:r>
      <w:r w:rsidRPr="009E3B32">
        <w:rPr>
          <w:rFonts w:ascii="標楷體" w:eastAsia="標楷體" w:hAnsi="標楷體" w:hint="eastAsia"/>
          <w:sz w:val="32"/>
          <w:szCs w:val="32"/>
        </w:rPr>
        <w:t>接持股達30%者，則須</w:t>
      </w:r>
      <w:proofErr w:type="gramStart"/>
      <w:r w:rsidRPr="009E3B3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E3B32">
        <w:rPr>
          <w:rFonts w:ascii="標楷體" w:eastAsia="標楷體" w:hAnsi="標楷體" w:hint="eastAsia"/>
          <w:sz w:val="32"/>
          <w:szCs w:val="32"/>
        </w:rPr>
        <w:t>商具有控制力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Pr="009E3B32">
        <w:rPr>
          <w:rFonts w:ascii="標楷體" w:eastAsia="標楷體" w:hAnsi="標楷體" w:hint="eastAsia"/>
          <w:sz w:val="32"/>
          <w:szCs w:val="32"/>
        </w:rPr>
        <w:t>，始得透過第三地</w:t>
      </w:r>
      <w:r>
        <w:rPr>
          <w:rFonts w:ascii="標楷體" w:eastAsia="標楷體" w:hAnsi="標楷體" w:hint="eastAsia"/>
          <w:sz w:val="32"/>
          <w:szCs w:val="32"/>
        </w:rPr>
        <w:t>區</w:t>
      </w:r>
      <w:r w:rsidRPr="009E3B32">
        <w:rPr>
          <w:rFonts w:ascii="標楷體" w:eastAsia="標楷體" w:hAnsi="標楷體" w:hint="eastAsia"/>
          <w:sz w:val="32"/>
          <w:szCs w:val="32"/>
        </w:rPr>
        <w:t>事業</w:t>
      </w:r>
      <w:r w:rsidR="006250C4">
        <w:rPr>
          <w:rFonts w:ascii="標楷體" w:eastAsia="標楷體" w:hAnsi="標楷體" w:hint="eastAsia"/>
          <w:sz w:val="32"/>
          <w:szCs w:val="32"/>
        </w:rPr>
        <w:t>以</w:t>
      </w:r>
      <w:r w:rsidRPr="009E3B32">
        <w:rPr>
          <w:rFonts w:ascii="標楷體" w:eastAsia="標楷體" w:hAnsi="標楷體" w:hint="eastAsia"/>
          <w:sz w:val="32"/>
          <w:szCs w:val="32"/>
        </w:rPr>
        <w:t>專案許可</w:t>
      </w:r>
      <w:r w:rsidR="006250C4">
        <w:rPr>
          <w:rFonts w:ascii="標楷體" w:eastAsia="標楷體" w:hAnsi="標楷體" w:hint="eastAsia"/>
          <w:sz w:val="32"/>
          <w:szCs w:val="32"/>
        </w:rPr>
        <w:t>方式來</w:t>
      </w:r>
      <w:proofErr w:type="gramStart"/>
      <w:r w:rsidR="006250C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250C4">
        <w:rPr>
          <w:rFonts w:ascii="標楷體" w:eastAsia="標楷體" w:hAnsi="標楷體" w:hint="eastAsia"/>
          <w:sz w:val="32"/>
          <w:szCs w:val="32"/>
        </w:rPr>
        <w:t>申請掛牌。</w:t>
      </w:r>
      <w:r w:rsidRPr="009E3B32">
        <w:rPr>
          <w:rFonts w:ascii="標楷體" w:eastAsia="標楷體" w:hAnsi="標楷體" w:hint="eastAsia"/>
          <w:sz w:val="32"/>
          <w:szCs w:val="32"/>
        </w:rPr>
        <w:t>前開陸資之定義與持股</w:t>
      </w:r>
      <w:r>
        <w:rPr>
          <w:rFonts w:ascii="標楷體" w:eastAsia="標楷體" w:hAnsi="標楷體" w:hint="eastAsia"/>
          <w:sz w:val="32"/>
          <w:szCs w:val="32"/>
        </w:rPr>
        <w:t>之限制，應考量法律形式與經濟實質</w:t>
      </w:r>
      <w:r w:rsidRPr="009E3B32">
        <w:rPr>
          <w:rFonts w:ascii="標楷體" w:eastAsia="標楷體" w:hAnsi="標楷體" w:hint="eastAsia"/>
          <w:sz w:val="32"/>
          <w:szCs w:val="32"/>
        </w:rPr>
        <w:t>。</w:t>
      </w:r>
      <w:r w:rsidR="006D1884">
        <w:rPr>
          <w:rFonts w:ascii="標楷體" w:eastAsia="標楷體" w:hAnsi="標楷體" w:hint="eastAsia"/>
          <w:sz w:val="32"/>
          <w:szCs w:val="32"/>
        </w:rPr>
        <w:t>至大陸地區</w:t>
      </w:r>
      <w:r w:rsidR="00617075" w:rsidRPr="00617075">
        <w:rPr>
          <w:rFonts w:ascii="標楷體" w:eastAsia="標楷體" w:hAnsi="標楷體" w:hint="eastAsia"/>
          <w:sz w:val="32"/>
          <w:szCs w:val="32"/>
        </w:rPr>
        <w:t>企業</w:t>
      </w:r>
      <w:r w:rsidR="006D1884">
        <w:rPr>
          <w:rFonts w:ascii="標楷體" w:eastAsia="標楷體" w:hAnsi="標楷體" w:hint="eastAsia"/>
          <w:sz w:val="32"/>
          <w:szCs w:val="32"/>
        </w:rPr>
        <w:t>擬透過架設第三地區</w:t>
      </w:r>
      <w:r w:rsidR="006B3E74">
        <w:rPr>
          <w:rFonts w:ascii="標楷體" w:eastAsia="標楷體" w:hAnsi="標楷體" w:hint="eastAsia"/>
          <w:sz w:val="32"/>
          <w:szCs w:val="32"/>
        </w:rPr>
        <w:t>控股</w:t>
      </w:r>
      <w:r w:rsidR="006D1884">
        <w:rPr>
          <w:rFonts w:ascii="標楷體" w:eastAsia="標楷體" w:hAnsi="標楷體" w:hint="eastAsia"/>
          <w:sz w:val="32"/>
          <w:szCs w:val="32"/>
        </w:rPr>
        <w:t>事業申請來</w:t>
      </w:r>
      <w:proofErr w:type="gramStart"/>
      <w:r w:rsidR="006D188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D1884">
        <w:rPr>
          <w:rFonts w:ascii="標楷體" w:eastAsia="標楷體" w:hAnsi="標楷體" w:hint="eastAsia"/>
          <w:sz w:val="32"/>
          <w:szCs w:val="32"/>
        </w:rPr>
        <w:t>掛牌</w:t>
      </w:r>
      <w:r w:rsidR="00617075" w:rsidRPr="00617075">
        <w:rPr>
          <w:rFonts w:ascii="標楷體" w:eastAsia="標楷體" w:hAnsi="標楷體" w:hint="eastAsia"/>
          <w:sz w:val="32"/>
          <w:szCs w:val="32"/>
        </w:rPr>
        <w:t>者，</w:t>
      </w:r>
      <w:r w:rsidR="00497215">
        <w:rPr>
          <w:rFonts w:ascii="標楷體" w:eastAsia="標楷體" w:hAnsi="標楷體" w:hint="eastAsia"/>
          <w:sz w:val="32"/>
          <w:szCs w:val="32"/>
        </w:rPr>
        <w:t>應依</w:t>
      </w:r>
      <w:r w:rsidR="00617075">
        <w:rPr>
          <w:rFonts w:ascii="標楷體" w:eastAsia="標楷體" w:hAnsi="標楷體" w:hint="eastAsia"/>
          <w:sz w:val="32"/>
          <w:szCs w:val="32"/>
        </w:rPr>
        <w:t>下列</w:t>
      </w:r>
      <w:r w:rsidR="009C1691">
        <w:rPr>
          <w:rFonts w:ascii="標楷體" w:eastAsia="標楷體" w:hAnsi="標楷體" w:hint="eastAsia"/>
          <w:sz w:val="32"/>
          <w:szCs w:val="32"/>
        </w:rPr>
        <w:t>說明</w:t>
      </w:r>
      <w:r w:rsidR="00617075">
        <w:rPr>
          <w:rFonts w:ascii="標楷體" w:eastAsia="標楷體" w:hAnsi="標楷體" w:hint="eastAsia"/>
          <w:sz w:val="32"/>
          <w:szCs w:val="32"/>
        </w:rPr>
        <w:t>二</w:t>
      </w:r>
      <w:r w:rsidR="009C1691">
        <w:rPr>
          <w:rFonts w:ascii="標楷體" w:eastAsia="標楷體" w:hAnsi="標楷體" w:hint="eastAsia"/>
          <w:sz w:val="32"/>
          <w:szCs w:val="32"/>
        </w:rPr>
        <w:t>之</w:t>
      </w:r>
      <w:r w:rsidR="0087740C">
        <w:rPr>
          <w:rFonts w:ascii="標楷體" w:eastAsia="標楷體" w:hAnsi="標楷體" w:hint="eastAsia"/>
          <w:sz w:val="32"/>
          <w:szCs w:val="32"/>
        </w:rPr>
        <w:t>方式評估</w:t>
      </w:r>
      <w:r w:rsidR="006D1884">
        <w:rPr>
          <w:rFonts w:ascii="標楷體" w:eastAsia="標楷體" w:hAnsi="標楷體" w:hint="eastAsia"/>
          <w:sz w:val="32"/>
          <w:szCs w:val="32"/>
        </w:rPr>
        <w:t>，在符合現行規定之情形下</w:t>
      </w:r>
      <w:r w:rsidR="00617075" w:rsidRPr="00617075">
        <w:rPr>
          <w:rFonts w:ascii="標楷體" w:eastAsia="標楷體" w:hAnsi="標楷體" w:hint="eastAsia"/>
          <w:sz w:val="32"/>
          <w:szCs w:val="32"/>
        </w:rPr>
        <w:t>來</w:t>
      </w:r>
      <w:proofErr w:type="gramStart"/>
      <w:r w:rsidR="00617075" w:rsidRPr="0061707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617075" w:rsidRPr="00617075">
        <w:rPr>
          <w:rFonts w:ascii="標楷體" w:eastAsia="標楷體" w:hAnsi="標楷體" w:hint="eastAsia"/>
          <w:sz w:val="32"/>
          <w:szCs w:val="32"/>
        </w:rPr>
        <w:t>申請掛牌。</w:t>
      </w:r>
    </w:p>
    <w:p w14:paraId="4CCEAC82" w14:textId="77777777" w:rsidR="009E3B32" w:rsidRDefault="006B3E74" w:rsidP="005577E5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6B3E74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3E6B0DE" wp14:editId="741C2B6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62675" cy="479425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047" cy="480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E5" w:rsidRPr="005577E5">
        <w:rPr>
          <w:rFonts w:ascii="標楷體" w:eastAsia="標楷體" w:hAnsi="標楷體" w:hint="eastAsia"/>
          <w:sz w:val="32"/>
          <w:szCs w:val="32"/>
        </w:rPr>
        <w:t>大陸地區企業擬透過架設第三地區</w:t>
      </w:r>
      <w:r>
        <w:rPr>
          <w:rFonts w:ascii="標楷體" w:eastAsia="標楷體" w:hAnsi="標楷體" w:hint="eastAsia"/>
          <w:sz w:val="32"/>
          <w:szCs w:val="32"/>
        </w:rPr>
        <w:t>控股</w:t>
      </w:r>
      <w:r w:rsidR="005577E5" w:rsidRPr="005577E5">
        <w:rPr>
          <w:rFonts w:ascii="標楷體" w:eastAsia="標楷體" w:hAnsi="標楷體" w:hint="eastAsia"/>
          <w:sz w:val="32"/>
          <w:szCs w:val="32"/>
        </w:rPr>
        <w:t>事業申請來</w:t>
      </w:r>
      <w:proofErr w:type="gramStart"/>
      <w:r w:rsidR="005577E5" w:rsidRPr="005577E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5577E5" w:rsidRPr="005577E5">
        <w:rPr>
          <w:rFonts w:ascii="標楷體" w:eastAsia="標楷體" w:hAnsi="標楷體" w:hint="eastAsia"/>
          <w:sz w:val="32"/>
          <w:szCs w:val="32"/>
        </w:rPr>
        <w:t>掛牌</w:t>
      </w:r>
      <w:r w:rsidR="005577E5">
        <w:rPr>
          <w:rFonts w:ascii="標楷體" w:eastAsia="標楷體" w:hAnsi="標楷體" w:hint="eastAsia"/>
          <w:sz w:val="32"/>
          <w:szCs w:val="32"/>
        </w:rPr>
        <w:t>者，</w:t>
      </w:r>
      <w:r w:rsidR="006D1884">
        <w:rPr>
          <w:rFonts w:ascii="標楷體" w:eastAsia="標楷體" w:hAnsi="標楷體" w:hint="eastAsia"/>
          <w:sz w:val="32"/>
          <w:szCs w:val="32"/>
        </w:rPr>
        <w:t>應依下列方式評估能否申請</w:t>
      </w:r>
      <w:r w:rsidR="009E3B32">
        <w:rPr>
          <w:rFonts w:ascii="標楷體" w:eastAsia="標楷體" w:hAnsi="標楷體" w:hint="eastAsia"/>
          <w:sz w:val="32"/>
          <w:szCs w:val="32"/>
        </w:rPr>
        <w:t>來</w:t>
      </w:r>
      <w:proofErr w:type="gramStart"/>
      <w:r w:rsidR="009E3B32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9E3B32">
        <w:rPr>
          <w:rFonts w:ascii="標楷體" w:eastAsia="標楷體" w:hAnsi="標楷體" w:hint="eastAsia"/>
          <w:sz w:val="32"/>
          <w:szCs w:val="32"/>
        </w:rPr>
        <w:t>掛牌：</w:t>
      </w:r>
    </w:p>
    <w:p w14:paraId="2FBCD650" w14:textId="77777777" w:rsidR="009E3B32" w:rsidRPr="009E3B32" w:rsidRDefault="009E3B32" w:rsidP="00F6173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9E3B32">
        <w:rPr>
          <w:rFonts w:ascii="標楷體" w:eastAsia="標楷體" w:hAnsi="標楷體" w:hint="eastAsia"/>
          <w:sz w:val="28"/>
          <w:szCs w:val="28"/>
        </w:rPr>
        <w:lastRenderedPageBreak/>
        <w:t>註</w:t>
      </w:r>
      <w:proofErr w:type="gramEnd"/>
      <w:r w:rsidRPr="009E3B32">
        <w:rPr>
          <w:rFonts w:ascii="標楷體" w:eastAsia="標楷體" w:hAnsi="標楷體" w:hint="eastAsia"/>
          <w:sz w:val="28"/>
          <w:szCs w:val="28"/>
        </w:rPr>
        <w:t>：</w:t>
      </w:r>
    </w:p>
    <w:p w14:paraId="7A7681CB" w14:textId="77777777" w:rsidR="009E3B32" w:rsidRPr="009E3B32" w:rsidRDefault="005577E5" w:rsidP="00F61737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大陸地區企業透過架設第三地區</w:t>
      </w:r>
      <w:r w:rsidR="00F93144">
        <w:rPr>
          <w:rFonts w:ascii="標楷體" w:eastAsia="標楷體" w:hAnsi="標楷體" w:hint="eastAsia"/>
          <w:sz w:val="28"/>
          <w:szCs w:val="28"/>
        </w:rPr>
        <w:t>控股</w:t>
      </w:r>
      <w:r>
        <w:rPr>
          <w:rFonts w:ascii="標楷體" w:eastAsia="標楷體" w:hAnsi="標楷體" w:hint="eastAsia"/>
          <w:sz w:val="28"/>
          <w:szCs w:val="28"/>
        </w:rPr>
        <w:t>事業申請來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掛牌且</w:t>
      </w:r>
      <w:r w:rsidR="001D272D" w:rsidRPr="001D272D">
        <w:rPr>
          <w:rFonts w:ascii="標楷體" w:eastAsia="標楷體" w:hAnsi="標楷體" w:hint="eastAsia"/>
          <w:sz w:val="28"/>
          <w:szCs w:val="28"/>
        </w:rPr>
        <w:t>涉陸資股東</w:t>
      </w:r>
      <w:r w:rsidR="00B32E50">
        <w:rPr>
          <w:rFonts w:ascii="標楷體" w:eastAsia="標楷體" w:hAnsi="標楷體" w:hint="eastAsia"/>
          <w:sz w:val="28"/>
          <w:szCs w:val="28"/>
        </w:rPr>
        <w:t>之外國發行人</w:t>
      </w:r>
      <w:r w:rsidR="001D272D" w:rsidRPr="001D272D">
        <w:rPr>
          <w:rFonts w:ascii="標楷體" w:eastAsia="標楷體" w:hAnsi="標楷體" w:hint="eastAsia"/>
          <w:sz w:val="28"/>
          <w:szCs w:val="28"/>
        </w:rPr>
        <w:t>，是否符合申請條件，應依法律形式及經濟實質綜合考量之：</w:t>
      </w:r>
    </w:p>
    <w:p w14:paraId="2F5E3492" w14:textId="77777777" w:rsidR="009E3B32" w:rsidRPr="009E3B32" w:rsidRDefault="009E3B32" w:rsidP="00F61737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E3B32">
        <w:rPr>
          <w:rFonts w:ascii="標楷體" w:eastAsia="標楷體" w:hAnsi="標楷體" w:hint="eastAsia"/>
          <w:sz w:val="28"/>
          <w:szCs w:val="28"/>
        </w:rPr>
        <w:t>陸資之認定，應依臺灣地區與大陸地區人民關係條例（下稱兩岸條例）規定，並注意下列事項：</w:t>
      </w:r>
    </w:p>
    <w:p w14:paraId="4C138733" w14:textId="77777777" w:rsidR="009E3B32" w:rsidRPr="009E3B32" w:rsidRDefault="009E3B32" w:rsidP="00F61737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E3B32">
        <w:rPr>
          <w:rFonts w:ascii="標楷體" w:eastAsia="標楷體" w:hAnsi="標楷體" w:hint="eastAsia"/>
          <w:sz w:val="28"/>
          <w:szCs w:val="28"/>
        </w:rPr>
        <w:t>股東原為大陸籍而轉換其他國籍者，除有註銷大陸籍之證明外，並應綜合考量該股東(a)是否符合兩岸條例之規定；(b)是否涉規避法令規定而轉換國籍；(c)生活與經濟重心</w:t>
      </w:r>
      <w:proofErr w:type="gramStart"/>
      <w:r w:rsidRPr="009E3B32">
        <w:rPr>
          <w:rFonts w:ascii="標楷體" w:eastAsia="標楷體" w:hAnsi="標楷體" w:hint="eastAsia"/>
          <w:sz w:val="28"/>
          <w:szCs w:val="28"/>
        </w:rPr>
        <w:t>是否均在大陸（</w:t>
      </w:r>
      <w:proofErr w:type="gramEnd"/>
      <w:r w:rsidRPr="009E3B32">
        <w:rPr>
          <w:rFonts w:ascii="標楷體" w:eastAsia="標楷體" w:hAnsi="標楷體" w:hint="eastAsia"/>
          <w:sz w:val="28"/>
          <w:szCs w:val="28"/>
        </w:rPr>
        <w:t>如：該股東之配偶子女等親屬是否仍為大陸籍、是否長住大陸、</w:t>
      </w:r>
      <w:r w:rsidR="00B32E50">
        <w:rPr>
          <w:rFonts w:ascii="標楷體" w:eastAsia="標楷體" w:hAnsi="標楷體" w:hint="eastAsia"/>
          <w:sz w:val="28"/>
          <w:szCs w:val="28"/>
        </w:rPr>
        <w:t>前揭</w:t>
      </w:r>
      <w:r w:rsidR="00D615BF">
        <w:rPr>
          <w:rFonts w:ascii="標楷體" w:eastAsia="標楷體" w:hAnsi="標楷體" w:hint="eastAsia"/>
          <w:sz w:val="28"/>
          <w:szCs w:val="28"/>
        </w:rPr>
        <w:t>發行人</w:t>
      </w:r>
      <w:r w:rsidR="00E01D23">
        <w:rPr>
          <w:rFonts w:ascii="標楷體" w:eastAsia="標楷體" w:hAnsi="標楷體" w:hint="eastAsia"/>
          <w:sz w:val="28"/>
          <w:szCs w:val="28"/>
        </w:rPr>
        <w:t>之生產或銷售重心是否均</w:t>
      </w:r>
      <w:r w:rsidRPr="009E3B32">
        <w:rPr>
          <w:rFonts w:ascii="標楷體" w:eastAsia="標楷體" w:hAnsi="標楷體" w:hint="eastAsia"/>
          <w:sz w:val="28"/>
          <w:szCs w:val="28"/>
        </w:rPr>
        <w:t>位於大陸地區等</w:t>
      </w:r>
      <w:proofErr w:type="gramStart"/>
      <w:r w:rsidRPr="009E3B3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；及（d）是否有其他客觀事實顯示為陸資</w:t>
      </w:r>
      <w:r w:rsidRPr="009E3B32">
        <w:rPr>
          <w:rFonts w:ascii="標楷體" w:eastAsia="標楷體" w:hAnsi="標楷體" w:hint="eastAsia"/>
          <w:sz w:val="28"/>
          <w:szCs w:val="28"/>
        </w:rPr>
        <w:t>等。</w:t>
      </w:r>
    </w:p>
    <w:p w14:paraId="24369847" w14:textId="77777777" w:rsidR="009E3B32" w:rsidRPr="009E3B32" w:rsidRDefault="009E3B32" w:rsidP="00F61737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E3B32">
        <w:rPr>
          <w:rFonts w:ascii="標楷體" w:eastAsia="標楷體" w:hAnsi="標楷體" w:hint="eastAsia"/>
          <w:sz w:val="28"/>
          <w:szCs w:val="28"/>
        </w:rPr>
        <w:t>股東為港澳地區人士者，依香港澳門關係條例規定非屬大陸地區人民，惟若原為大陸籍股東而轉換香港或澳門籍者，則應依前揭（1）轉換國籍之事項考量之。</w:t>
      </w:r>
    </w:p>
    <w:p w14:paraId="5D7CB315" w14:textId="5B246592" w:rsidR="009E3B32" w:rsidRPr="009E3B32" w:rsidRDefault="00F92277" w:rsidP="00F61737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F92277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持股30%及</w:t>
      </w:r>
      <w:r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具有</w:t>
      </w:r>
      <w:r w:rsidR="009E3B32" w:rsidRPr="009E3B32">
        <w:rPr>
          <w:rFonts w:ascii="標楷體" w:eastAsia="標楷體" w:hAnsi="標楷體" w:hint="eastAsia"/>
          <w:sz w:val="28"/>
          <w:szCs w:val="28"/>
        </w:rPr>
        <w:t>控制力之認定：應依相關會計準則公報及經濟部</w:t>
      </w:r>
      <w:r w:rsidRPr="00F922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109年12月30日</w:t>
      </w:r>
      <w:proofErr w:type="gramStart"/>
      <w:r w:rsidRPr="00F922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經審字第10904606730</w:t>
      </w:r>
      <w:proofErr w:type="gramEnd"/>
      <w:r w:rsidRPr="00F922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號令及</w:t>
      </w:r>
      <w:proofErr w:type="gramStart"/>
      <w:r w:rsidRPr="00F922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經審字第10904606720</w:t>
      </w:r>
      <w:proofErr w:type="gramEnd"/>
      <w:r w:rsidRPr="00F922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號令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，</w:t>
      </w:r>
      <w:r w:rsidR="009E3B32" w:rsidRPr="009E3B32">
        <w:rPr>
          <w:rFonts w:ascii="標楷體" w:eastAsia="標楷體" w:hAnsi="標楷體" w:hint="eastAsia"/>
          <w:sz w:val="28"/>
          <w:szCs w:val="28"/>
        </w:rPr>
        <w:t>有關陸資</w:t>
      </w:r>
      <w:r w:rsidRPr="00F92277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持股計算方式及</w:t>
      </w:r>
      <w:r w:rsidRPr="00F92277">
        <w:rPr>
          <w:rFonts w:ascii="標楷體" w:eastAsia="標楷體" w:hAnsi="標楷體" w:hint="eastAsia"/>
          <w:color w:val="FF0000"/>
          <w:kern w:val="0"/>
          <w:sz w:val="28"/>
          <w:szCs w:val="28"/>
          <w:u w:val="single"/>
        </w:rPr>
        <w:t>具有</w:t>
      </w:r>
      <w:r w:rsidR="009E3B32" w:rsidRPr="009E3B32">
        <w:rPr>
          <w:rFonts w:ascii="標楷體" w:eastAsia="標楷體" w:hAnsi="標楷體" w:hint="eastAsia"/>
          <w:sz w:val="28"/>
          <w:szCs w:val="28"/>
        </w:rPr>
        <w:t>控制力之解釋函令，考量法律形式與經濟實質認定之</w:t>
      </w:r>
      <w:r w:rsidR="009E3B32">
        <w:rPr>
          <w:rFonts w:ascii="標楷體" w:eastAsia="標楷體" w:hAnsi="標楷體" w:hint="eastAsia"/>
          <w:sz w:val="28"/>
          <w:szCs w:val="28"/>
        </w:rPr>
        <w:t>，並應注意非長期性持股之股東（如</w:t>
      </w:r>
      <w:r w:rsidR="0087740C">
        <w:rPr>
          <w:rFonts w:ascii="標楷體" w:eastAsia="標楷體" w:hAnsi="標楷體" w:hint="eastAsia"/>
          <w:sz w:val="28"/>
          <w:szCs w:val="28"/>
        </w:rPr>
        <w:t>以短期投資為目的之投資公司或</w:t>
      </w:r>
      <w:r w:rsidR="009E3B32">
        <w:rPr>
          <w:rFonts w:ascii="標楷體" w:eastAsia="標楷體" w:hAnsi="標楷體" w:hint="eastAsia"/>
          <w:sz w:val="28"/>
          <w:szCs w:val="28"/>
        </w:rPr>
        <w:t>創業投資公司等）納入</w:t>
      </w:r>
      <w:proofErr w:type="gramStart"/>
      <w:r w:rsidR="009E3B3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E3B32">
        <w:rPr>
          <w:rFonts w:ascii="標楷體" w:eastAsia="標楷體" w:hAnsi="標楷體" w:hint="eastAsia"/>
          <w:sz w:val="28"/>
          <w:szCs w:val="28"/>
        </w:rPr>
        <w:t>商或外商控制</w:t>
      </w:r>
      <w:r w:rsidR="0092654B">
        <w:rPr>
          <w:rFonts w:ascii="標楷體" w:eastAsia="標楷體" w:hAnsi="標楷體" w:hint="eastAsia"/>
          <w:sz w:val="28"/>
          <w:szCs w:val="28"/>
        </w:rPr>
        <w:t>力</w:t>
      </w:r>
      <w:r w:rsidR="009E3B32">
        <w:rPr>
          <w:rFonts w:ascii="標楷體" w:eastAsia="標楷體" w:hAnsi="標楷體" w:hint="eastAsia"/>
          <w:sz w:val="28"/>
          <w:szCs w:val="28"/>
        </w:rPr>
        <w:t>計算之合理性。</w:t>
      </w:r>
    </w:p>
    <w:p w14:paraId="13EF1DEC" w14:textId="77777777" w:rsidR="009E3B32" w:rsidRPr="009E3B32" w:rsidRDefault="009E3B32" w:rsidP="00F61737">
      <w:pPr>
        <w:numPr>
          <w:ilvl w:val="0"/>
          <w:numId w:val="2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E3B32">
        <w:rPr>
          <w:rFonts w:ascii="標楷體" w:eastAsia="標楷體" w:hAnsi="標楷體" w:hint="eastAsia"/>
          <w:sz w:val="28"/>
          <w:szCs w:val="28"/>
        </w:rPr>
        <w:t>如有原陸資</w:t>
      </w:r>
      <w:r w:rsidR="00562AC7">
        <w:rPr>
          <w:rFonts w:ascii="標楷體" w:eastAsia="標楷體" w:hAnsi="標楷體" w:hint="eastAsia"/>
          <w:sz w:val="28"/>
          <w:szCs w:val="28"/>
        </w:rPr>
        <w:t>將</w:t>
      </w:r>
      <w:r w:rsidRPr="009E3B32">
        <w:rPr>
          <w:rFonts w:ascii="標楷體" w:eastAsia="標楷體" w:hAnsi="標楷體" w:hint="eastAsia"/>
          <w:sz w:val="28"/>
          <w:szCs w:val="28"/>
        </w:rPr>
        <w:t>股權或控制力移轉予非陸籍人士（</w:t>
      </w:r>
      <w:r w:rsidR="0007146F">
        <w:rPr>
          <w:rFonts w:ascii="標楷體" w:eastAsia="標楷體" w:hAnsi="標楷體" w:hint="eastAsia"/>
          <w:sz w:val="28"/>
          <w:szCs w:val="28"/>
        </w:rPr>
        <w:t>中華民國</w:t>
      </w:r>
      <w:r w:rsidR="001D272D">
        <w:rPr>
          <w:rFonts w:ascii="標楷體" w:eastAsia="標楷體" w:hAnsi="標楷體" w:hint="eastAsia"/>
          <w:sz w:val="28"/>
          <w:szCs w:val="28"/>
        </w:rPr>
        <w:t>籍或外國籍）</w:t>
      </w:r>
      <w:r w:rsidR="00562AC7">
        <w:rPr>
          <w:rFonts w:ascii="標楷體" w:eastAsia="標楷體" w:hAnsi="標楷體" w:hint="eastAsia"/>
          <w:sz w:val="28"/>
          <w:szCs w:val="28"/>
        </w:rPr>
        <w:t>者</w:t>
      </w:r>
      <w:r w:rsidR="001D272D">
        <w:rPr>
          <w:rFonts w:ascii="標楷體" w:eastAsia="標楷體" w:hAnsi="標楷體" w:hint="eastAsia"/>
          <w:sz w:val="28"/>
          <w:szCs w:val="28"/>
        </w:rPr>
        <w:t>，應依經濟實質綜合考量陸資對</w:t>
      </w:r>
      <w:r w:rsidR="00B32E50">
        <w:rPr>
          <w:rFonts w:ascii="標楷體" w:eastAsia="標楷體" w:hAnsi="標楷體" w:hint="eastAsia"/>
          <w:sz w:val="28"/>
          <w:szCs w:val="28"/>
        </w:rPr>
        <w:t>前揭</w:t>
      </w:r>
      <w:r w:rsidR="00D615BF">
        <w:rPr>
          <w:rFonts w:ascii="標楷體" w:eastAsia="標楷體" w:hAnsi="標楷體" w:hint="eastAsia"/>
          <w:sz w:val="28"/>
          <w:szCs w:val="28"/>
        </w:rPr>
        <w:t>發行人</w:t>
      </w:r>
      <w:r w:rsidRPr="009E3B32">
        <w:rPr>
          <w:rFonts w:ascii="標楷體" w:eastAsia="標楷體" w:hAnsi="標楷體" w:hint="eastAsia"/>
          <w:sz w:val="28"/>
          <w:szCs w:val="28"/>
        </w:rPr>
        <w:t>是否未具有實質營運控制力，並應注意其股權或控制力移轉之真實性</w:t>
      </w:r>
      <w:r w:rsidR="008076F6">
        <w:rPr>
          <w:rFonts w:ascii="標楷體" w:eastAsia="標楷體" w:hAnsi="標楷體" w:hint="eastAsia"/>
          <w:sz w:val="28"/>
          <w:szCs w:val="28"/>
        </w:rPr>
        <w:t>、</w:t>
      </w:r>
      <w:r w:rsidRPr="009E3B32">
        <w:rPr>
          <w:rFonts w:ascii="標楷體" w:eastAsia="標楷體" w:hAnsi="標楷體" w:hint="eastAsia"/>
          <w:sz w:val="28"/>
          <w:szCs w:val="28"/>
        </w:rPr>
        <w:t>移轉對象</w:t>
      </w:r>
      <w:r w:rsidR="00562AC7">
        <w:rPr>
          <w:rFonts w:ascii="標楷體" w:eastAsia="標楷體" w:hAnsi="標楷體" w:hint="eastAsia"/>
          <w:sz w:val="28"/>
          <w:szCs w:val="28"/>
        </w:rPr>
        <w:t>與</w:t>
      </w:r>
      <w:r w:rsidRPr="009E3B32">
        <w:rPr>
          <w:rFonts w:ascii="標楷體" w:eastAsia="標楷體" w:hAnsi="標楷體" w:hint="eastAsia"/>
          <w:sz w:val="28"/>
          <w:szCs w:val="28"/>
        </w:rPr>
        <w:t>移轉時間之合理性，及移轉後一定營運期間之經營實績變化等。</w:t>
      </w:r>
    </w:p>
    <w:p w14:paraId="575BB2C9" w14:textId="77777777" w:rsidR="009E3B32" w:rsidRPr="009E3B32" w:rsidRDefault="009E3B32" w:rsidP="00F61737">
      <w:pPr>
        <w:spacing w:line="480" w:lineRule="exact"/>
        <w:ind w:left="280" w:hangingChars="100" w:hanging="280"/>
        <w:jc w:val="both"/>
        <w:rPr>
          <w:sz w:val="28"/>
          <w:szCs w:val="28"/>
        </w:rPr>
      </w:pPr>
      <w:r w:rsidRPr="009E3B32">
        <w:rPr>
          <w:rFonts w:ascii="標楷體" w:eastAsia="標楷體" w:hAnsi="標楷體" w:hint="eastAsia"/>
          <w:sz w:val="28"/>
          <w:szCs w:val="28"/>
        </w:rPr>
        <w:t>※證券承銷商等如對</w:t>
      </w:r>
      <w:r w:rsidR="00B32E50">
        <w:rPr>
          <w:rFonts w:ascii="標楷體" w:eastAsia="標楷體" w:hAnsi="標楷體" w:hint="eastAsia"/>
          <w:sz w:val="28"/>
          <w:szCs w:val="28"/>
        </w:rPr>
        <w:t>前揭</w:t>
      </w:r>
      <w:r w:rsidR="00D615BF">
        <w:rPr>
          <w:rFonts w:ascii="標楷體" w:eastAsia="標楷體" w:hAnsi="標楷體" w:hint="eastAsia"/>
          <w:sz w:val="28"/>
          <w:szCs w:val="28"/>
        </w:rPr>
        <w:t>發行人</w:t>
      </w:r>
      <w:r w:rsidR="005577E5">
        <w:rPr>
          <w:rFonts w:ascii="標楷體" w:eastAsia="標楷體" w:hAnsi="標楷體" w:hint="eastAsia"/>
          <w:sz w:val="28"/>
          <w:szCs w:val="28"/>
        </w:rPr>
        <w:t>之掛牌</w:t>
      </w:r>
      <w:r w:rsidRPr="009E3B32">
        <w:rPr>
          <w:rFonts w:ascii="標楷體" w:eastAsia="標楷體" w:hAnsi="標楷體" w:hint="eastAsia"/>
          <w:sz w:val="28"/>
          <w:szCs w:val="28"/>
        </w:rPr>
        <w:t>資格有疑義，得向</w:t>
      </w:r>
      <w:proofErr w:type="gramStart"/>
      <w:r w:rsidRPr="009E3B32">
        <w:rPr>
          <w:rFonts w:ascii="標楷體" w:eastAsia="標楷體" w:hAnsi="標楷體" w:hint="eastAsia"/>
          <w:sz w:val="28"/>
          <w:szCs w:val="28"/>
        </w:rPr>
        <w:t>證交所或櫃買</w:t>
      </w:r>
      <w:proofErr w:type="gramEnd"/>
      <w:r w:rsidRPr="009E3B32">
        <w:rPr>
          <w:rFonts w:ascii="標楷體" w:eastAsia="標楷體" w:hAnsi="標楷體" w:hint="eastAsia"/>
          <w:sz w:val="28"/>
          <w:szCs w:val="28"/>
        </w:rPr>
        <w:t>中心洽詢，證交所及櫃買中心將依個案資料協助評估。</w:t>
      </w:r>
    </w:p>
    <w:sectPr w:rsidR="009E3B32" w:rsidRPr="009E3B3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2A8F0" w14:textId="77777777" w:rsidR="00010B2B" w:rsidRDefault="00010B2B" w:rsidP="009E3B32">
      <w:r>
        <w:separator/>
      </w:r>
    </w:p>
  </w:endnote>
  <w:endnote w:type="continuationSeparator" w:id="0">
    <w:p w14:paraId="3DBD4764" w14:textId="77777777" w:rsidR="00010B2B" w:rsidRDefault="00010B2B" w:rsidP="009E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8506633"/>
      <w:docPartObj>
        <w:docPartGallery w:val="Page Numbers (Bottom of Page)"/>
        <w:docPartUnique/>
      </w:docPartObj>
    </w:sdtPr>
    <w:sdtEndPr/>
    <w:sdtContent>
      <w:p w14:paraId="4DC2924C" w14:textId="77777777" w:rsidR="00F93144" w:rsidRDefault="00F931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9BC" w:rsidRPr="00CC69BC">
          <w:rPr>
            <w:noProof/>
            <w:lang w:val="zh-TW"/>
          </w:rPr>
          <w:t>1</w:t>
        </w:r>
        <w:r>
          <w:fldChar w:fldCharType="end"/>
        </w:r>
      </w:p>
    </w:sdtContent>
  </w:sdt>
  <w:p w14:paraId="3C734E0B" w14:textId="77777777" w:rsidR="00F93144" w:rsidRDefault="00F931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6C598" w14:textId="77777777" w:rsidR="00010B2B" w:rsidRDefault="00010B2B" w:rsidP="009E3B32">
      <w:r>
        <w:separator/>
      </w:r>
    </w:p>
  </w:footnote>
  <w:footnote w:type="continuationSeparator" w:id="0">
    <w:p w14:paraId="0313D150" w14:textId="77777777" w:rsidR="00010B2B" w:rsidRDefault="00010B2B" w:rsidP="009E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D701F"/>
    <w:multiLevelType w:val="hybridMultilevel"/>
    <w:tmpl w:val="B7D8873A"/>
    <w:lvl w:ilvl="0" w:tplc="1BC6E752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40B76"/>
    <w:multiLevelType w:val="hybridMultilevel"/>
    <w:tmpl w:val="A70ADBB2"/>
    <w:lvl w:ilvl="0" w:tplc="01AC5F84">
      <w:start w:val="1"/>
      <w:numFmt w:val="decimal"/>
      <w:lvlText w:val="（%1）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1805D9E"/>
    <w:multiLevelType w:val="hybridMultilevel"/>
    <w:tmpl w:val="3E7A44AC"/>
    <w:lvl w:ilvl="0" w:tplc="0E70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B4"/>
    <w:rsid w:val="00010B2B"/>
    <w:rsid w:val="00031253"/>
    <w:rsid w:val="00041AA6"/>
    <w:rsid w:val="0007146F"/>
    <w:rsid w:val="000A2234"/>
    <w:rsid w:val="000E2A8B"/>
    <w:rsid w:val="00150C81"/>
    <w:rsid w:val="001872C9"/>
    <w:rsid w:val="001D272D"/>
    <w:rsid w:val="00286ACB"/>
    <w:rsid w:val="002F56D7"/>
    <w:rsid w:val="00353331"/>
    <w:rsid w:val="0035362D"/>
    <w:rsid w:val="0036705D"/>
    <w:rsid w:val="003B641C"/>
    <w:rsid w:val="003F47D5"/>
    <w:rsid w:val="00436F0F"/>
    <w:rsid w:val="00497215"/>
    <w:rsid w:val="004A314A"/>
    <w:rsid w:val="004A6D7B"/>
    <w:rsid w:val="005550B8"/>
    <w:rsid w:val="005577E5"/>
    <w:rsid w:val="00562AC7"/>
    <w:rsid w:val="005C11B9"/>
    <w:rsid w:val="00613D29"/>
    <w:rsid w:val="00617075"/>
    <w:rsid w:val="00624129"/>
    <w:rsid w:val="006250C4"/>
    <w:rsid w:val="006A21E3"/>
    <w:rsid w:val="006B3E74"/>
    <w:rsid w:val="006D1884"/>
    <w:rsid w:val="00702B30"/>
    <w:rsid w:val="00726DF2"/>
    <w:rsid w:val="008076F6"/>
    <w:rsid w:val="00816B6D"/>
    <w:rsid w:val="00825468"/>
    <w:rsid w:val="0084404A"/>
    <w:rsid w:val="00863511"/>
    <w:rsid w:val="0087740C"/>
    <w:rsid w:val="008C6E13"/>
    <w:rsid w:val="0092654B"/>
    <w:rsid w:val="009772D1"/>
    <w:rsid w:val="009A7FAC"/>
    <w:rsid w:val="009B11D8"/>
    <w:rsid w:val="009C1691"/>
    <w:rsid w:val="009E3B32"/>
    <w:rsid w:val="00A066C8"/>
    <w:rsid w:val="00AD4C19"/>
    <w:rsid w:val="00B32E50"/>
    <w:rsid w:val="00B9053C"/>
    <w:rsid w:val="00BE2171"/>
    <w:rsid w:val="00C006DD"/>
    <w:rsid w:val="00CA1F9F"/>
    <w:rsid w:val="00CC0CFC"/>
    <w:rsid w:val="00CC69BC"/>
    <w:rsid w:val="00CD30EE"/>
    <w:rsid w:val="00CD6F7B"/>
    <w:rsid w:val="00D615BF"/>
    <w:rsid w:val="00D776B4"/>
    <w:rsid w:val="00DB4F26"/>
    <w:rsid w:val="00DE7321"/>
    <w:rsid w:val="00E01D23"/>
    <w:rsid w:val="00E12B0A"/>
    <w:rsid w:val="00E30297"/>
    <w:rsid w:val="00F61737"/>
    <w:rsid w:val="00F63FC3"/>
    <w:rsid w:val="00F92277"/>
    <w:rsid w:val="00F93144"/>
    <w:rsid w:val="00F9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AF10F"/>
  <w15:docId w15:val="{33B46412-612E-42E3-8085-5AFD4FF4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B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3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3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3B32"/>
    <w:rPr>
      <w:sz w:val="20"/>
      <w:szCs w:val="20"/>
    </w:rPr>
  </w:style>
  <w:style w:type="paragraph" w:styleId="a7">
    <w:name w:val="List Paragraph"/>
    <w:basedOn w:val="a"/>
    <w:uiPriority w:val="34"/>
    <w:qFormat/>
    <w:rsid w:val="009E3B3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9E3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E3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ECA27-6E20-4AA4-B774-0DEEC205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黃莎蘅</cp:lastModifiedBy>
  <cp:revision>4</cp:revision>
  <cp:lastPrinted>2014-08-12T01:26:00Z</cp:lastPrinted>
  <dcterms:created xsi:type="dcterms:W3CDTF">2014-08-12T01:26:00Z</dcterms:created>
  <dcterms:modified xsi:type="dcterms:W3CDTF">2021-01-22T07:03:00Z</dcterms:modified>
</cp:coreProperties>
</file>