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2D66CF" w:rsidP="002D66CF">
      <w:pPr>
        <w:pStyle w:val="a3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715A" wp14:editId="0ABC498A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212888">
        <w:rPr>
          <w:rFonts w:ascii="新細明體" w:hAnsi="新細明體" w:hint="eastAsia"/>
          <w:noProof/>
        </w:rPr>
        <w:drawing>
          <wp:inline distT="0" distB="0" distL="0" distR="0" wp14:anchorId="745DDD51" wp14:editId="50005061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677EB4">
        <w:rPr>
          <w:rFonts w:eastAsia="標楷體" w:hint="eastAsia"/>
          <w:b/>
          <w:bCs/>
          <w:szCs w:val="20"/>
        </w:rPr>
        <w:t>元大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677EB4" w:rsidRDefault="002D66CF" w:rsidP="002D66CF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21"/>
      </w:tblGrid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8A4692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T050</w:t>
            </w:r>
            <w:r w:rsidR="008A4692">
              <w:rPr>
                <w:rFonts w:ascii="標楷體" w:eastAsia="標楷體" w:hAnsi="標楷體" w:hint="eastAsia"/>
              </w:rPr>
              <w:t>6</w:t>
            </w:r>
            <w:r w:rsidRPr="00677EB4">
              <w:rPr>
                <w:rFonts w:ascii="標楷體" w:eastAsia="標楷體" w:hAnsi="標楷體" w:hint="eastAsia"/>
              </w:rPr>
              <w:t>Y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8A4692" w:rsidP="007765EC">
            <w:pPr>
              <w:jc w:val="both"/>
              <w:rPr>
                <w:rFonts w:ascii="新細明體" w:hAnsi="新細明體"/>
              </w:rPr>
            </w:pPr>
            <w:r w:rsidRPr="00870D9E">
              <w:rPr>
                <w:rFonts w:ascii="標楷體" w:eastAsia="標楷體" w:hAnsi="標楷體"/>
              </w:rPr>
              <w:t>20080023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7F5E89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元大</w:t>
            </w:r>
            <w:r w:rsidR="007F5E89">
              <w:rPr>
                <w:rFonts w:ascii="標楷體" w:eastAsia="標楷體" w:hAnsi="標楷體" w:hint="eastAsia"/>
              </w:rPr>
              <w:t>店頭</w:t>
            </w:r>
            <w:r w:rsidRPr="00677EB4">
              <w:rPr>
                <w:rFonts w:ascii="標楷體" w:eastAsia="標楷體" w:hAnsi="標楷體" w:hint="eastAsia"/>
              </w:rPr>
              <w:t>證券投資信託基金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677EB4">
              <w:rPr>
                <w:rFonts w:ascii="標楷體" w:eastAsia="標楷體" w:hAnsi="標楷體" w:hint="eastAsia"/>
              </w:rPr>
              <w:t>范裕恆</w:t>
            </w:r>
          </w:p>
          <w:p w:rsidR="002D66CF" w:rsidRPr="00212888" w:rsidRDefault="002D66CF" w:rsidP="00677EB4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(02)2717-5555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5502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 w:rsidR="00824203">
              <w:rPr>
                <w:rFonts w:ascii="標楷體" w:eastAsia="標楷體" w:hAnsi="標楷體" w:hint="eastAsia"/>
              </w:rPr>
              <w:t>丁唯軒</w:t>
            </w:r>
            <w:proofErr w:type="gramEnd"/>
          </w:p>
          <w:p w:rsidR="002D66CF" w:rsidRPr="00212888" w:rsidRDefault="002D66CF" w:rsidP="00824203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(02)2718-1234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58</w:t>
            </w:r>
            <w:r w:rsidR="00824203">
              <w:rPr>
                <w:rFonts w:ascii="標楷體" w:eastAsia="標楷體" w:hAnsi="標楷體" w:hint="eastAsia"/>
              </w:rPr>
              <w:t>49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325" w:type="dxa"/>
            <w:shd w:val="clear" w:color="auto" w:fill="auto"/>
          </w:tcPr>
          <w:p w:rsidR="00774799" w:rsidRPr="00774799" w:rsidRDefault="00E511DD" w:rsidP="00774799">
            <w:pPr>
              <w:rPr>
                <w:rFonts w:ascii="標楷體" w:eastAsia="標楷體" w:hAnsi="標楷體"/>
              </w:rPr>
            </w:pPr>
            <w:hyperlink r:id="rId8" w:history="1">
              <w:r w:rsidR="00774799" w:rsidRPr="00676B4E">
                <w:rPr>
                  <w:rStyle w:val="a7"/>
                  <w:rFonts w:ascii="標楷體" w:eastAsia="標楷體" w:hAnsi="標楷體" w:hint="eastAsia"/>
                </w:rPr>
                <w:t>https://www.yuantafunds.com/fund/download/1006店頭基金簡式公開說明書.pdf</w:t>
              </w:r>
            </w:hyperlink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20C7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9" w:history="1">
              <w:r w:rsidR="00B20C70" w:rsidRPr="00483FEC">
                <w:rPr>
                  <w:rStyle w:val="a7"/>
                  <w:rFonts w:ascii="標楷體" w:eastAsia="標楷體" w:hAnsi="標楷體"/>
                </w:rPr>
                <w:t>https://www.yuantafunds.com/intradayvalue/</w:t>
              </w:r>
            </w:hyperlink>
          </w:p>
          <w:p w:rsidR="00B20C70" w:rsidRPr="00212888" w:rsidRDefault="00B20C70" w:rsidP="007765EC">
            <w:pPr>
              <w:rPr>
                <w:rFonts w:ascii="標楷體" w:eastAsia="標楷體" w:hAnsi="標楷體"/>
              </w:rPr>
            </w:pPr>
          </w:p>
        </w:tc>
      </w:tr>
    </w:tbl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777959" w:rsidRPr="00777959">
        <w:rPr>
          <w:rFonts w:ascii="標楷體" w:eastAsia="標楷體" w:hAnsi="標楷體" w:hint="eastAsia"/>
          <w:sz w:val="32"/>
          <w:szCs w:val="32"/>
        </w:rPr>
        <w:t>元大</w:t>
      </w:r>
      <w:r w:rsidRPr="00777959">
        <w:rPr>
          <w:rFonts w:ascii="標楷體" w:eastAsia="標楷體" w:hAnsi="標楷體" w:hint="eastAsia"/>
          <w:sz w:val="32"/>
          <w:szCs w:val="32"/>
        </w:rPr>
        <w:t>證券投</w:t>
      </w:r>
      <w:bookmarkStart w:id="0" w:name="_GoBack"/>
      <w:bookmarkEnd w:id="0"/>
      <w:r w:rsidRPr="00777959">
        <w:rPr>
          <w:rFonts w:ascii="標楷體" w:eastAsia="標楷體" w:hAnsi="標楷體" w:hint="eastAsia"/>
          <w:sz w:val="32"/>
          <w:szCs w:val="32"/>
        </w:rPr>
        <w:t>資信託股份有限公司網站</w:t>
      </w:r>
    </w:p>
    <w:p w:rsidR="00777959" w:rsidRPr="00E511DD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511DD">
        <w:rPr>
          <w:rFonts w:ascii="標楷體" w:eastAsia="標楷體" w:hAnsi="標楷體" w:hint="eastAsia"/>
          <w:sz w:val="32"/>
          <w:szCs w:val="32"/>
        </w:rPr>
        <w:t>(</w:t>
      </w:r>
      <w:hyperlink r:id="rId10" w:history="1">
        <w:r w:rsidR="00774799" w:rsidRPr="00E511DD">
          <w:rPr>
            <w:rStyle w:val="a7"/>
            <w:rFonts w:ascii="標楷體" w:eastAsia="標楷體" w:hAnsi="標楷體"/>
            <w:sz w:val="32"/>
            <w:szCs w:val="32"/>
          </w:rPr>
          <w:t>https://www.yuantafunds.com/b1/b1_2.aspx?P01=1006</w:t>
        </w:r>
      </w:hyperlink>
      <w:r w:rsidRPr="00E511DD">
        <w:rPr>
          <w:rFonts w:ascii="標楷體" w:eastAsia="標楷體" w:hAnsi="標楷體" w:hint="eastAsia"/>
          <w:sz w:val="32"/>
          <w:szCs w:val="32"/>
        </w:rPr>
        <w:t>)</w:t>
      </w:r>
    </w:p>
    <w:p w:rsidR="002D66CF" w:rsidRPr="00212888" w:rsidRDefault="002D66CF" w:rsidP="00777959">
      <w:pPr>
        <w:spacing w:line="0" w:lineRule="atLeast"/>
        <w:rPr>
          <w:rFonts w:eastAsia="標楷體"/>
          <w:b/>
          <w:bCs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或中華民國證券投資信託暨顧問商業同業公會網站(</w:t>
      </w:r>
      <w:hyperlink r:id="rId11" w:history="1">
        <w:r w:rsidRPr="00777959">
          <w:rPr>
            <w:rStyle w:val="a7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proofErr w:type="gramStart"/>
      <w:r w:rsidRPr="00777959">
        <w:rPr>
          <w:rFonts w:ascii="標楷體" w:eastAsia="標楷體" w:hAnsi="標楷體" w:hint="eastAsia"/>
          <w:sz w:val="32"/>
          <w:szCs w:val="32"/>
        </w:rPr>
        <w:t>)</w:t>
      </w:r>
      <w:r w:rsidRPr="00212888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B4" w:rsidRDefault="00677EB4" w:rsidP="00677EB4">
      <w:r>
        <w:separator/>
      </w:r>
    </w:p>
  </w:endnote>
  <w:endnote w:type="continuationSeparator" w:id="0">
    <w:p w:rsidR="00677EB4" w:rsidRDefault="00677EB4" w:rsidP="006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B4" w:rsidRDefault="00677EB4" w:rsidP="00677EB4">
      <w:r>
        <w:separator/>
      </w:r>
    </w:p>
  </w:footnote>
  <w:footnote w:type="continuationSeparator" w:id="0">
    <w:p w:rsidR="00677EB4" w:rsidRDefault="00677EB4" w:rsidP="0067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2D66CF"/>
    <w:rsid w:val="00346DCC"/>
    <w:rsid w:val="00542719"/>
    <w:rsid w:val="00677EB4"/>
    <w:rsid w:val="00774799"/>
    <w:rsid w:val="00777959"/>
    <w:rsid w:val="007F5E89"/>
    <w:rsid w:val="00824203"/>
    <w:rsid w:val="008A4692"/>
    <w:rsid w:val="00B20C70"/>
    <w:rsid w:val="00CB7F1B"/>
    <w:rsid w:val="00CF4289"/>
    <w:rsid w:val="00E511DD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antafunds.com/fund/download/1006&#24215;&#38957;&#22522;&#37329;&#31777;&#24335;&#20844;&#38283;&#35498;&#26126;&#2636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tca.org.tw/ROC/Industry/IN2002.aspx?PGMID=IN0202&amp;PORDER=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uantafunds.com/b1/b1_2.aspx?P01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antafunds.com/intradayval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范裕恆 Jason.Fan (Yuanta)</cp:lastModifiedBy>
  <cp:revision>9</cp:revision>
  <dcterms:created xsi:type="dcterms:W3CDTF">2015-10-06T10:03:00Z</dcterms:created>
  <dcterms:modified xsi:type="dcterms:W3CDTF">2015-11-27T06:19:00Z</dcterms:modified>
</cp:coreProperties>
</file>