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954" w:rsidRPr="00692B09" w:rsidRDefault="00C345EA" w:rsidP="00364954">
      <w:pPr>
        <w:spacing w:line="440" w:lineRule="exact"/>
        <w:jc w:val="center"/>
        <w:rPr>
          <w:rFonts w:ascii="標楷體" w:eastAsia="標楷體" w:hAnsi="標楷體"/>
          <w:b/>
          <w:sz w:val="31"/>
          <w:szCs w:val="31"/>
        </w:rPr>
      </w:pPr>
      <w:r>
        <w:rPr>
          <w:noProof/>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-647700</wp:posOffset>
                </wp:positionV>
                <wp:extent cx="2447925" cy="54864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48640"/>
                        </a:xfrm>
                        <a:prstGeom prst="rect">
                          <a:avLst/>
                        </a:prstGeom>
                        <a:noFill/>
                        <a:ln w="9525">
                          <a:noFill/>
                          <a:miter lim="800000"/>
                          <a:headEnd/>
                          <a:tailEnd/>
                        </a:ln>
                      </wps:spPr>
                      <wps:txbx>
                        <w:txbxContent>
                          <w:p w:rsidR="004C40BE" w:rsidRPr="00182825" w:rsidRDefault="004C40BE" w:rsidP="00364954">
                            <w:pPr>
                              <w:rPr>
                                <w:rFonts w:ascii="標楷體" w:eastAsia="標楷體" w:hAnsi="標楷體"/>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45pt;margin-top:-51pt;width:192.75pt;height:43.2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" filled="f" stroked="f">
                <v:textbox style="mso-fit-shape-to-text:t">
                  <w:txbxContent>
                    <w:p w:rsidR="004C40BE" w:rsidRPr="00182825" w:rsidRDefault="004C40BE" w:rsidP="00364954">
                      <w:pPr>
                        <w:rPr>
                          <w:rFonts w:ascii="標楷體" w:eastAsia="標楷體" w:hAnsi="標楷體"/>
                          <w:sz w:val="28"/>
                          <w:szCs w:val="28"/>
                        </w:rPr>
                      </w:pPr>
                    </w:p>
                  </w:txbxContent>
                </v:textbox>
              </v:shape>
            </w:pict>
          </mc:Fallback>
        </mc:AlternateContent>
      </w:r>
      <w:r w:rsidR="00364954" w:rsidRPr="00692B09">
        <w:rPr>
          <w:rFonts w:ascii="標楷體" w:eastAsia="標楷體" w:hAnsi="標楷體" w:hint="eastAsia"/>
          <w:b/>
          <w:sz w:val="31"/>
          <w:szCs w:val="31"/>
        </w:rPr>
        <w:t>財團法人中華民國證券櫃檯買賣中心</w:t>
      </w:r>
    </w:p>
    <w:p w:rsidR="00364954" w:rsidRPr="00692B09" w:rsidRDefault="00364954" w:rsidP="00364954">
      <w:pPr>
        <w:spacing w:line="440" w:lineRule="exact"/>
        <w:jc w:val="center"/>
        <w:rPr>
          <w:rFonts w:ascii="標楷體" w:eastAsia="標楷體" w:hAnsi="標楷體"/>
          <w:b/>
          <w:sz w:val="31"/>
          <w:szCs w:val="31"/>
        </w:rPr>
      </w:pPr>
      <w:r w:rsidRPr="00692B09">
        <w:rPr>
          <w:rFonts w:ascii="標楷體" w:eastAsia="標楷體" w:hAnsi="標楷體" w:hint="eastAsia"/>
          <w:b/>
          <w:sz w:val="31"/>
          <w:szCs w:val="31"/>
        </w:rPr>
        <w:t>證券商營業處所買賣有價證券業務規則修正</w:t>
      </w:r>
      <w:r>
        <w:rPr>
          <w:rFonts w:ascii="標楷體" w:eastAsia="標楷體" w:hAnsi="標楷體" w:hint="eastAsia"/>
          <w:b/>
          <w:sz w:val="31"/>
          <w:szCs w:val="31"/>
        </w:rPr>
        <w:t>條文</w:t>
      </w:r>
      <w:r w:rsidRPr="00692B09">
        <w:rPr>
          <w:rFonts w:ascii="標楷體" w:eastAsia="標楷體" w:hAnsi="標楷體" w:hint="eastAsia"/>
          <w:b/>
          <w:sz w:val="31"/>
          <w:szCs w:val="31"/>
        </w:rPr>
        <w:t>對照表</w:t>
      </w:r>
    </w:p>
    <w:p w:rsidR="00364954" w:rsidRPr="001436E9" w:rsidRDefault="00364954" w:rsidP="00364954">
      <w:pPr>
        <w:spacing w:line="440" w:lineRule="exact"/>
        <w:jc w:val="center"/>
        <w:rPr>
          <w:rFonts w:ascii="標楷體" w:eastAsia="標楷體" w:hAnsi="標楷體"/>
          <w:b/>
          <w:sz w:val="32"/>
          <w:szCs w:val="32"/>
        </w:rPr>
      </w:pPr>
    </w:p>
    <w:tbl>
      <w:tblPr>
        <w:tblW w:w="9640"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4"/>
      </w:tblGrid>
      <w:tr w:rsidR="00364954" w:rsidRPr="00987763" w:rsidTr="00987763">
        <w:trPr>
          <w:tblHeader/>
          <w:jc w:val="center"/>
        </w:trPr>
        <w:tc>
          <w:tcPr>
            <w:tcW w:w="3213" w:type="dxa"/>
            <w:shd w:val="clear" w:color="auto" w:fill="auto"/>
          </w:tcPr>
          <w:p w:rsidR="00364954" w:rsidRPr="00987763" w:rsidRDefault="00364954" w:rsidP="00987763">
            <w:pPr>
              <w:snapToGrid w:val="0"/>
              <w:spacing w:line="300" w:lineRule="auto"/>
              <w:jc w:val="center"/>
              <w:rPr>
                <w:rFonts w:ascii="標楷體" w:eastAsia="標楷體" w:hAnsi="標楷體"/>
                <w:szCs w:val="24"/>
              </w:rPr>
            </w:pPr>
            <w:r w:rsidRPr="00987763">
              <w:rPr>
                <w:rFonts w:ascii="標楷體" w:eastAsia="標楷體" w:hAnsi="標楷體" w:hint="eastAsia"/>
                <w:szCs w:val="24"/>
              </w:rPr>
              <w:t>修正條文</w:t>
            </w:r>
          </w:p>
        </w:tc>
        <w:tc>
          <w:tcPr>
            <w:tcW w:w="3213" w:type="dxa"/>
            <w:shd w:val="clear" w:color="auto" w:fill="auto"/>
          </w:tcPr>
          <w:p w:rsidR="00364954" w:rsidRPr="00987763" w:rsidRDefault="00364954" w:rsidP="00987763">
            <w:pPr>
              <w:snapToGrid w:val="0"/>
              <w:spacing w:line="300" w:lineRule="auto"/>
              <w:jc w:val="center"/>
              <w:rPr>
                <w:rFonts w:ascii="標楷體" w:eastAsia="標楷體" w:hAnsi="標楷體"/>
                <w:szCs w:val="24"/>
              </w:rPr>
            </w:pPr>
            <w:r w:rsidRPr="00987763">
              <w:rPr>
                <w:rFonts w:ascii="標楷體" w:eastAsia="標楷體" w:hAnsi="標楷體" w:hint="eastAsia"/>
                <w:szCs w:val="24"/>
              </w:rPr>
              <w:t>現行條文</w:t>
            </w:r>
          </w:p>
        </w:tc>
        <w:tc>
          <w:tcPr>
            <w:tcW w:w="3214" w:type="dxa"/>
            <w:shd w:val="clear" w:color="auto" w:fill="auto"/>
          </w:tcPr>
          <w:p w:rsidR="00364954" w:rsidRPr="00987763" w:rsidRDefault="00364954" w:rsidP="00987763">
            <w:pPr>
              <w:snapToGrid w:val="0"/>
              <w:spacing w:line="300" w:lineRule="auto"/>
              <w:jc w:val="center"/>
              <w:rPr>
                <w:rFonts w:ascii="標楷體" w:eastAsia="標楷體" w:hAnsi="標楷體"/>
                <w:szCs w:val="24"/>
              </w:rPr>
            </w:pPr>
            <w:r w:rsidRPr="00987763">
              <w:rPr>
                <w:rFonts w:ascii="標楷體" w:eastAsia="標楷體" w:hAnsi="標楷體" w:hint="eastAsia"/>
                <w:szCs w:val="24"/>
              </w:rPr>
              <w:t>說明</w:t>
            </w:r>
          </w:p>
        </w:tc>
      </w:tr>
      <w:tr w:rsidR="00364954" w:rsidRPr="00987763" w:rsidTr="00987763">
        <w:trPr>
          <w:jc w:val="center"/>
        </w:trPr>
        <w:tc>
          <w:tcPr>
            <w:tcW w:w="3213" w:type="dxa"/>
            <w:shd w:val="clear" w:color="auto" w:fill="auto"/>
          </w:tcPr>
          <w:p w:rsidR="00364954" w:rsidRPr="00987763" w:rsidRDefault="00364954" w:rsidP="00987763">
            <w:pPr>
              <w:pStyle w:val="HTML"/>
              <w:snapToGrid w:val="0"/>
              <w:spacing w:line="300" w:lineRule="auto"/>
              <w:ind w:left="480" w:hangingChars="200" w:hanging="480"/>
              <w:jc w:val="both"/>
              <w:rPr>
                <w:rFonts w:ascii="標楷體" w:eastAsia="標楷體" w:hAnsi="標楷體"/>
                <w:color w:val="auto"/>
              </w:rPr>
            </w:pPr>
            <w:r w:rsidRPr="00987763">
              <w:rPr>
                <w:rFonts w:ascii="標楷體" w:eastAsia="標楷體" w:hAnsi="標楷體" w:hint="eastAsia"/>
                <w:color w:val="auto"/>
              </w:rPr>
              <w:t>第四十七條</w:t>
            </w:r>
          </w:p>
          <w:p w:rsidR="00364954" w:rsidRPr="00987763" w:rsidRDefault="00364954" w:rsidP="00987763">
            <w:pPr>
              <w:pStyle w:val="HTML"/>
              <w:snapToGrid w:val="0"/>
              <w:spacing w:line="300" w:lineRule="auto"/>
              <w:ind w:left="480" w:hangingChars="200" w:hanging="480"/>
              <w:jc w:val="center"/>
              <w:rPr>
                <w:rFonts w:ascii="標楷體" w:eastAsia="標楷體" w:hAnsi="標楷體"/>
                <w:color w:val="auto"/>
              </w:rPr>
            </w:pPr>
            <w:r w:rsidRPr="00987763">
              <w:rPr>
                <w:rFonts w:ascii="標楷體" w:eastAsia="標楷體" w:hAnsi="標楷體" w:hint="eastAsia"/>
                <w:color w:val="auto"/>
              </w:rPr>
              <w:t>(第一項未修正)</w:t>
            </w:r>
          </w:p>
          <w:p w:rsidR="00364954" w:rsidRPr="00987763" w:rsidRDefault="00364954" w:rsidP="00987763">
            <w:pPr>
              <w:pStyle w:val="HTML"/>
              <w:snapToGrid w:val="0"/>
              <w:spacing w:line="300" w:lineRule="auto"/>
              <w:ind w:left="480" w:hangingChars="200" w:hanging="480"/>
              <w:jc w:val="both"/>
              <w:rPr>
                <w:rFonts w:ascii="標楷體" w:eastAsia="標楷體" w:hAnsi="標楷體"/>
                <w:color w:val="auto"/>
              </w:rPr>
            </w:pPr>
          </w:p>
          <w:p w:rsidR="00364954" w:rsidRPr="00987763" w:rsidRDefault="00364954" w:rsidP="00987763">
            <w:pPr>
              <w:pStyle w:val="HTML"/>
              <w:snapToGrid w:val="0"/>
              <w:spacing w:line="300" w:lineRule="auto"/>
              <w:ind w:firstLineChars="200" w:firstLine="480"/>
              <w:jc w:val="both"/>
              <w:rPr>
                <w:rFonts w:ascii="標楷體" w:eastAsia="標楷體" w:hAnsi="標楷體"/>
                <w:color w:val="auto"/>
              </w:rPr>
            </w:pPr>
            <w:r w:rsidRPr="00987763">
              <w:rPr>
                <w:rFonts w:ascii="標楷體" w:eastAsia="標楷體" w:hAnsi="標楷體" w:hint="eastAsia"/>
                <w:color w:val="auto"/>
              </w:rPr>
              <w:t>客戶有下列情事之一者，證券商應拒絕接受開戶，已開戶者應拒絕接受其買賣、委託買賣或申購有價證券：</w:t>
            </w:r>
          </w:p>
          <w:p w:rsidR="00364954" w:rsidRPr="00987763" w:rsidRDefault="00364954" w:rsidP="00987763">
            <w:pPr>
              <w:pStyle w:val="HTML"/>
              <w:snapToGrid w:val="0"/>
              <w:spacing w:line="300" w:lineRule="auto"/>
              <w:ind w:left="480" w:hangingChars="200" w:hanging="480"/>
              <w:jc w:val="both"/>
              <w:rPr>
                <w:rFonts w:ascii="標楷體" w:eastAsia="標楷體" w:hAnsi="標楷體"/>
                <w:color w:val="auto"/>
              </w:rPr>
            </w:pPr>
            <w:r w:rsidRPr="00987763">
              <w:rPr>
                <w:rFonts w:ascii="標楷體" w:eastAsia="標楷體" w:hAnsi="標楷體" w:hint="eastAsia"/>
                <w:color w:val="auto"/>
              </w:rPr>
              <w:t>一、因不如期履行給付結算義務違反契約，經本中心或臺灣證券交易所轉知各證券商後，未結案且未滿五年者。但接獲通知後，就客戶同日已成交之融資買進或融券賣出，為同種類同數量有價證券沖抵交易之受託買賣，及當日依「有價證券當日沖銷交易作業辦法」</w:t>
            </w:r>
            <w:r w:rsidRPr="00987763">
              <w:rPr>
                <w:rFonts w:ascii="標楷體" w:eastAsia="標楷體" w:hAnsi="標楷體" w:hint="eastAsia"/>
                <w:color w:val="auto"/>
                <w:u w:val="single"/>
              </w:rPr>
              <w:t>為反向沖銷</w:t>
            </w:r>
            <w:r w:rsidRPr="00987763">
              <w:rPr>
                <w:rFonts w:ascii="標楷體" w:eastAsia="標楷體" w:hAnsi="標楷體" w:hint="eastAsia"/>
                <w:color w:val="auto"/>
              </w:rPr>
              <w:t>之受託</w:t>
            </w:r>
            <w:r w:rsidRPr="00987763">
              <w:rPr>
                <w:rFonts w:ascii="標楷體" w:eastAsia="標楷體" w:hAnsi="標楷體" w:hint="eastAsia"/>
                <w:color w:val="auto"/>
                <w:u w:val="single"/>
              </w:rPr>
              <w:t>買賣</w:t>
            </w:r>
            <w:r w:rsidRPr="00987763">
              <w:rPr>
                <w:rFonts w:ascii="標楷體" w:eastAsia="標楷體" w:hAnsi="標楷體" w:hint="eastAsia"/>
                <w:color w:val="auto"/>
              </w:rPr>
              <w:t>，不在此限。</w:t>
            </w:r>
          </w:p>
          <w:p w:rsidR="00364954" w:rsidRPr="00987763" w:rsidRDefault="00364954" w:rsidP="00987763">
            <w:pPr>
              <w:pStyle w:val="HTML"/>
              <w:snapToGrid w:val="0"/>
              <w:spacing w:line="300" w:lineRule="auto"/>
              <w:ind w:left="480" w:hangingChars="200" w:hanging="480"/>
              <w:jc w:val="center"/>
              <w:rPr>
                <w:rFonts w:ascii="標楷體" w:eastAsia="標楷體" w:hAnsi="標楷體"/>
                <w:color w:val="auto"/>
              </w:rPr>
            </w:pPr>
            <w:r w:rsidRPr="00987763">
              <w:rPr>
                <w:rFonts w:ascii="標楷體" w:eastAsia="標楷體" w:hAnsi="標楷體" w:hint="eastAsia"/>
                <w:color w:val="auto"/>
              </w:rPr>
              <w:t xml:space="preserve"> (以下略)</w:t>
            </w:r>
          </w:p>
        </w:tc>
        <w:tc>
          <w:tcPr>
            <w:tcW w:w="3213" w:type="dxa"/>
            <w:shd w:val="clear" w:color="auto" w:fill="auto"/>
          </w:tcPr>
          <w:p w:rsidR="00364954" w:rsidRPr="00987763" w:rsidRDefault="00364954" w:rsidP="00987763">
            <w:pPr>
              <w:pStyle w:val="HTML"/>
              <w:snapToGrid w:val="0"/>
              <w:spacing w:line="300" w:lineRule="auto"/>
              <w:ind w:left="480" w:hangingChars="200" w:hanging="480"/>
              <w:jc w:val="both"/>
              <w:rPr>
                <w:rFonts w:ascii="標楷體" w:eastAsia="標楷體" w:hAnsi="標楷體"/>
                <w:color w:val="auto"/>
              </w:rPr>
            </w:pPr>
            <w:r w:rsidRPr="00987763">
              <w:rPr>
                <w:rFonts w:ascii="標楷體" w:eastAsia="標楷體" w:hAnsi="標楷體" w:hint="eastAsia"/>
                <w:color w:val="auto"/>
              </w:rPr>
              <w:t>第四十七條</w:t>
            </w:r>
          </w:p>
          <w:p w:rsidR="00364954" w:rsidRPr="00987763" w:rsidRDefault="00364954" w:rsidP="00987763">
            <w:pPr>
              <w:pStyle w:val="HTML"/>
              <w:snapToGrid w:val="0"/>
              <w:spacing w:line="300" w:lineRule="auto"/>
              <w:ind w:left="480" w:hangingChars="200" w:hanging="480"/>
              <w:jc w:val="center"/>
              <w:rPr>
                <w:rFonts w:ascii="標楷體" w:eastAsia="標楷體" w:hAnsi="標楷體"/>
                <w:color w:val="auto"/>
              </w:rPr>
            </w:pPr>
            <w:r w:rsidRPr="00987763">
              <w:rPr>
                <w:rFonts w:ascii="標楷體" w:eastAsia="標楷體" w:hAnsi="標楷體" w:hint="eastAsia"/>
                <w:color w:val="auto"/>
              </w:rPr>
              <w:t>(第一項未修正)</w:t>
            </w:r>
          </w:p>
          <w:p w:rsidR="00364954" w:rsidRPr="00987763" w:rsidRDefault="00364954" w:rsidP="00987763">
            <w:pPr>
              <w:pStyle w:val="HTML"/>
              <w:snapToGrid w:val="0"/>
              <w:spacing w:line="300" w:lineRule="auto"/>
              <w:ind w:left="480" w:hangingChars="200" w:hanging="480"/>
              <w:jc w:val="both"/>
              <w:rPr>
                <w:rFonts w:ascii="標楷體" w:eastAsia="標楷體" w:hAnsi="標楷體"/>
                <w:color w:val="auto"/>
              </w:rPr>
            </w:pPr>
          </w:p>
          <w:p w:rsidR="00364954" w:rsidRPr="00987763" w:rsidRDefault="00364954" w:rsidP="00987763">
            <w:pPr>
              <w:pStyle w:val="HTML"/>
              <w:snapToGrid w:val="0"/>
              <w:spacing w:line="300" w:lineRule="auto"/>
              <w:ind w:firstLineChars="200" w:firstLine="480"/>
              <w:jc w:val="both"/>
              <w:rPr>
                <w:rFonts w:ascii="標楷體" w:eastAsia="標楷體" w:hAnsi="標楷體"/>
                <w:color w:val="auto"/>
              </w:rPr>
            </w:pPr>
            <w:r w:rsidRPr="00987763">
              <w:rPr>
                <w:rFonts w:ascii="標楷體" w:eastAsia="標楷體" w:hAnsi="標楷體" w:hint="eastAsia"/>
                <w:color w:val="auto"/>
              </w:rPr>
              <w:t>客戶有下列情事之一者，證券商應拒絕接受開戶，已開戶者應拒絕接受其買賣、委託買賣或申購有價證券：</w:t>
            </w:r>
          </w:p>
          <w:p w:rsidR="00364954" w:rsidRPr="00987763" w:rsidRDefault="00364954" w:rsidP="00987763">
            <w:pPr>
              <w:pStyle w:val="HTML"/>
              <w:snapToGrid w:val="0"/>
              <w:spacing w:line="300" w:lineRule="auto"/>
              <w:ind w:left="480" w:hangingChars="200" w:hanging="480"/>
              <w:jc w:val="both"/>
              <w:rPr>
                <w:rFonts w:ascii="標楷體" w:eastAsia="標楷體" w:hAnsi="標楷體"/>
                <w:color w:val="auto"/>
              </w:rPr>
            </w:pPr>
            <w:r w:rsidRPr="00987763">
              <w:rPr>
                <w:rFonts w:ascii="標楷體" w:eastAsia="標楷體" w:hAnsi="標楷體" w:hint="eastAsia"/>
                <w:color w:val="auto"/>
              </w:rPr>
              <w:t>一、因不如期履行給付結算義務違反契約，經本中心或臺灣證券交易所轉知各證券商後，未結案且未滿五年者。但接獲通知後，就客戶同日已成交之融資買進或融券賣出，為同種類同數量有價證券沖抵交易之受託買賣，及當日依「有價證券當日沖銷交易作業辦法」之受託</w:t>
            </w:r>
            <w:r w:rsidRPr="00987763">
              <w:rPr>
                <w:rFonts w:ascii="標楷體" w:eastAsia="標楷體" w:hAnsi="標楷體" w:hint="eastAsia"/>
                <w:color w:val="auto"/>
                <w:u w:val="single"/>
              </w:rPr>
              <w:t>賣出有價證券</w:t>
            </w:r>
            <w:r w:rsidRPr="00987763">
              <w:rPr>
                <w:rFonts w:ascii="標楷體" w:eastAsia="標楷體" w:hAnsi="標楷體" w:hint="eastAsia"/>
                <w:color w:val="auto"/>
              </w:rPr>
              <w:t>，不在此限。</w:t>
            </w:r>
          </w:p>
          <w:p w:rsidR="00364954" w:rsidRPr="00987763" w:rsidRDefault="00364954" w:rsidP="00987763">
            <w:pPr>
              <w:pStyle w:val="HTML"/>
              <w:snapToGrid w:val="0"/>
              <w:spacing w:line="300" w:lineRule="auto"/>
              <w:ind w:left="480" w:hangingChars="200" w:hanging="480"/>
              <w:jc w:val="center"/>
              <w:rPr>
                <w:rFonts w:ascii="標楷體" w:eastAsia="標楷體" w:hAnsi="標楷體"/>
                <w:color w:val="auto"/>
              </w:rPr>
            </w:pPr>
            <w:r w:rsidRPr="00987763">
              <w:rPr>
                <w:rFonts w:ascii="標楷體" w:eastAsia="標楷體" w:hAnsi="標楷體" w:hint="eastAsia"/>
                <w:color w:val="auto"/>
              </w:rPr>
              <w:t>(以下略)</w:t>
            </w:r>
          </w:p>
        </w:tc>
        <w:tc>
          <w:tcPr>
            <w:tcW w:w="3214" w:type="dxa"/>
            <w:shd w:val="clear" w:color="auto" w:fill="auto"/>
          </w:tcPr>
          <w:p w:rsidR="00364954" w:rsidRPr="00987763" w:rsidRDefault="00364954" w:rsidP="00987763">
            <w:pPr>
              <w:snapToGrid w:val="0"/>
              <w:spacing w:line="300" w:lineRule="auto"/>
              <w:jc w:val="both"/>
              <w:rPr>
                <w:rFonts w:ascii="標楷體" w:eastAsia="標楷體" w:hAnsi="標楷體"/>
                <w:szCs w:val="24"/>
              </w:rPr>
            </w:pPr>
            <w:r w:rsidRPr="00987763">
              <w:rPr>
                <w:rFonts w:ascii="標楷體" w:eastAsia="標楷體" w:hAnsi="標楷體" w:hint="eastAsia"/>
                <w:szCs w:val="24"/>
              </w:rPr>
              <w:t>配合開放現股先賣後買當日沖銷交易，修正第二項第一款，規範證券商於接獲有關投資人違約之通報後，仍得接受投資人反向沖銷之買賣委託。</w:t>
            </w:r>
          </w:p>
        </w:tc>
      </w:tr>
      <w:tr w:rsidR="00364954" w:rsidRPr="00987763" w:rsidTr="00987763">
        <w:trPr>
          <w:jc w:val="center"/>
        </w:trPr>
        <w:tc>
          <w:tcPr>
            <w:tcW w:w="3213" w:type="dxa"/>
            <w:shd w:val="clear" w:color="auto" w:fill="auto"/>
          </w:tcPr>
          <w:p w:rsidR="00364954" w:rsidRPr="00987763" w:rsidRDefault="00364954" w:rsidP="00987763">
            <w:pPr>
              <w:pStyle w:val="HTML"/>
              <w:snapToGrid w:val="0"/>
              <w:spacing w:line="300" w:lineRule="auto"/>
              <w:ind w:left="480" w:hangingChars="200" w:hanging="480"/>
              <w:jc w:val="both"/>
              <w:rPr>
                <w:rFonts w:ascii="標楷體" w:eastAsia="標楷體" w:hAnsi="標楷體"/>
                <w:color w:val="auto"/>
              </w:rPr>
            </w:pPr>
            <w:r w:rsidRPr="00987763">
              <w:rPr>
                <w:rFonts w:ascii="標楷體" w:eastAsia="標楷體" w:hAnsi="標楷體" w:hint="eastAsia"/>
                <w:color w:val="auto"/>
              </w:rPr>
              <w:t>第六十三條之一</w:t>
            </w:r>
          </w:p>
          <w:p w:rsidR="00364954" w:rsidRPr="00987763" w:rsidRDefault="00364954" w:rsidP="00987763">
            <w:pPr>
              <w:pStyle w:val="HTML"/>
              <w:snapToGrid w:val="0"/>
              <w:spacing w:line="300" w:lineRule="auto"/>
              <w:ind w:firstLineChars="200" w:firstLine="480"/>
              <w:jc w:val="both"/>
              <w:rPr>
                <w:rFonts w:ascii="標楷體" w:eastAsia="標楷體" w:hAnsi="標楷體"/>
                <w:color w:val="auto"/>
              </w:rPr>
            </w:pPr>
            <w:r w:rsidRPr="00987763">
              <w:rPr>
                <w:rFonts w:ascii="標楷體" w:eastAsia="標楷體" w:hAnsi="標楷體" w:hint="eastAsia"/>
                <w:color w:val="auto"/>
              </w:rPr>
              <w:t>證券經紀商受託賣出時，應確認委託數量不超過委託人在其保管劃撥帳戶餘額及其已交付現券送存之總和，但符合下列各款情事之一者，不在此限</w:t>
            </w:r>
            <w:r w:rsidRPr="00987763">
              <w:rPr>
                <w:rFonts w:ascii="標楷體" w:eastAsia="標楷體" w:hAnsi="標楷體" w:hint="eastAsia"/>
                <w:color w:val="auto"/>
                <w:u w:val="single"/>
              </w:rPr>
              <w:t>：</w:t>
            </w:r>
          </w:p>
          <w:p w:rsidR="00364954" w:rsidRPr="00987763" w:rsidRDefault="00364954" w:rsidP="00987763">
            <w:pPr>
              <w:pStyle w:val="HTML"/>
              <w:snapToGrid w:val="0"/>
              <w:spacing w:line="300" w:lineRule="auto"/>
              <w:ind w:left="480" w:hangingChars="200" w:hanging="480"/>
              <w:jc w:val="both"/>
              <w:rPr>
                <w:rFonts w:ascii="標楷體" w:eastAsia="標楷體" w:hAnsi="標楷體"/>
                <w:color w:val="auto"/>
              </w:rPr>
            </w:pPr>
            <w:r w:rsidRPr="00987763">
              <w:rPr>
                <w:rFonts w:ascii="標楷體" w:eastAsia="標楷體" w:hAnsi="標楷體" w:hint="eastAsia"/>
                <w:color w:val="auto"/>
              </w:rPr>
              <w:t>一、委由保管機構代辦給付結算事務。</w:t>
            </w:r>
          </w:p>
          <w:p w:rsidR="00364954" w:rsidRPr="00987763" w:rsidRDefault="00364954" w:rsidP="00987763">
            <w:pPr>
              <w:pStyle w:val="HTML"/>
              <w:snapToGrid w:val="0"/>
              <w:spacing w:line="300" w:lineRule="auto"/>
              <w:ind w:left="283" w:hangingChars="118" w:hanging="283"/>
              <w:jc w:val="both"/>
              <w:rPr>
                <w:rFonts w:ascii="標楷體" w:eastAsia="標楷體" w:hAnsi="標楷體"/>
                <w:color w:val="auto"/>
              </w:rPr>
            </w:pPr>
            <w:r w:rsidRPr="00987763">
              <w:rPr>
                <w:rFonts w:ascii="標楷體" w:eastAsia="標楷體" w:hAnsi="標楷體" w:hint="eastAsia"/>
                <w:color w:val="auto"/>
              </w:rPr>
              <w:lastRenderedPageBreak/>
              <w:t>二、委託融券賣出。</w:t>
            </w:r>
          </w:p>
          <w:p w:rsidR="00364954" w:rsidRPr="00987763" w:rsidRDefault="00364954" w:rsidP="00987763">
            <w:pPr>
              <w:pStyle w:val="HTML"/>
              <w:snapToGrid w:val="0"/>
              <w:spacing w:line="300" w:lineRule="auto"/>
              <w:ind w:left="425" w:hangingChars="177" w:hanging="425"/>
              <w:jc w:val="both"/>
              <w:rPr>
                <w:rFonts w:ascii="標楷體" w:eastAsia="標楷體" w:hAnsi="標楷體"/>
                <w:color w:val="auto"/>
              </w:rPr>
            </w:pPr>
            <w:r w:rsidRPr="00987763">
              <w:rPr>
                <w:rFonts w:ascii="標楷體" w:eastAsia="標楷體" w:hAnsi="標楷體" w:hint="eastAsia"/>
                <w:color w:val="auto"/>
              </w:rPr>
              <w:t>三、委託賣出償還融資。</w:t>
            </w:r>
          </w:p>
          <w:p w:rsidR="00364954" w:rsidRPr="00987763" w:rsidRDefault="00364954" w:rsidP="00987763">
            <w:pPr>
              <w:pStyle w:val="HTML"/>
              <w:snapToGrid w:val="0"/>
              <w:spacing w:line="300" w:lineRule="auto"/>
              <w:ind w:left="480" w:hangingChars="200" w:hanging="480"/>
              <w:jc w:val="both"/>
              <w:rPr>
                <w:rFonts w:ascii="標楷體" w:eastAsia="標楷體" w:hAnsi="標楷體"/>
                <w:color w:val="auto"/>
              </w:rPr>
            </w:pPr>
            <w:r w:rsidRPr="00987763">
              <w:rPr>
                <w:rFonts w:ascii="標楷體" w:eastAsia="標楷體" w:hAnsi="標楷體" w:hint="eastAsia"/>
                <w:color w:val="auto"/>
              </w:rPr>
              <w:t>四、委託賣出已了結信用交易之抵繳有價證券。</w:t>
            </w:r>
          </w:p>
          <w:p w:rsidR="00364954" w:rsidRPr="00987763" w:rsidRDefault="00364954" w:rsidP="00987763">
            <w:pPr>
              <w:pStyle w:val="HTML"/>
              <w:snapToGrid w:val="0"/>
              <w:spacing w:line="300" w:lineRule="auto"/>
              <w:ind w:left="480" w:hangingChars="200" w:hanging="480"/>
              <w:jc w:val="both"/>
              <w:rPr>
                <w:rFonts w:ascii="標楷體" w:eastAsia="標楷體" w:hAnsi="標楷體"/>
                <w:color w:val="auto"/>
              </w:rPr>
            </w:pPr>
            <w:r w:rsidRPr="00987763">
              <w:rPr>
                <w:rFonts w:ascii="標楷體" w:eastAsia="標楷體" w:hAnsi="標楷體" w:hint="eastAsia"/>
                <w:color w:val="auto"/>
              </w:rPr>
              <w:t>五、委託賣出借貸款項或交割款項融資所提供之擔保品。</w:t>
            </w:r>
          </w:p>
          <w:p w:rsidR="00364954" w:rsidRPr="00987763" w:rsidRDefault="00364954" w:rsidP="00987763">
            <w:pPr>
              <w:pStyle w:val="HTML"/>
              <w:snapToGrid w:val="0"/>
              <w:spacing w:line="300" w:lineRule="auto"/>
              <w:ind w:left="480" w:hangingChars="200" w:hanging="480"/>
              <w:jc w:val="both"/>
              <w:rPr>
                <w:rFonts w:ascii="標楷體" w:eastAsia="標楷體" w:hAnsi="標楷體"/>
                <w:color w:val="auto"/>
              </w:rPr>
            </w:pPr>
            <w:r w:rsidRPr="00987763">
              <w:rPr>
                <w:rFonts w:ascii="標楷體" w:eastAsia="標楷體" w:hAnsi="標楷體" w:hint="eastAsia"/>
                <w:color w:val="auto"/>
              </w:rPr>
              <w:t>六、委託賣出有價證券借貸得領回之擔保品。</w:t>
            </w:r>
          </w:p>
          <w:p w:rsidR="00364954" w:rsidRPr="00987763" w:rsidRDefault="00364954" w:rsidP="00987763">
            <w:pPr>
              <w:pStyle w:val="HTML"/>
              <w:snapToGrid w:val="0"/>
              <w:spacing w:line="300" w:lineRule="auto"/>
              <w:ind w:left="480" w:hangingChars="200" w:hanging="480"/>
              <w:jc w:val="both"/>
              <w:rPr>
                <w:rFonts w:ascii="標楷體" w:eastAsia="標楷體" w:hAnsi="標楷體"/>
                <w:color w:val="auto"/>
              </w:rPr>
            </w:pPr>
            <w:r w:rsidRPr="00987763">
              <w:rPr>
                <w:rFonts w:ascii="標楷體" w:eastAsia="標楷體" w:hAnsi="標楷體" w:hint="eastAsia"/>
                <w:color w:val="auto"/>
              </w:rPr>
              <w:t>七、委託賣出違約專戶之有價證券。</w:t>
            </w:r>
          </w:p>
          <w:p w:rsidR="00364954" w:rsidRPr="00987763" w:rsidRDefault="00364954" w:rsidP="00987763">
            <w:pPr>
              <w:pStyle w:val="HTML"/>
              <w:snapToGrid w:val="0"/>
              <w:spacing w:line="300" w:lineRule="auto"/>
              <w:ind w:left="480" w:hangingChars="200" w:hanging="480"/>
              <w:jc w:val="both"/>
              <w:rPr>
                <w:rFonts w:ascii="標楷體" w:eastAsia="標楷體" w:hAnsi="標楷體"/>
                <w:color w:val="auto"/>
              </w:rPr>
            </w:pPr>
            <w:r w:rsidRPr="00987763">
              <w:rPr>
                <w:rFonts w:ascii="標楷體" w:eastAsia="標楷體" w:hAnsi="標楷體" w:hint="eastAsia"/>
                <w:color w:val="auto"/>
              </w:rPr>
              <w:t>八、委託賣出前一營業日依本中心「有價證券借貸辦法」證券商或證券金融事業給付結算需求出借之有價證券。</w:t>
            </w:r>
          </w:p>
          <w:p w:rsidR="00364954" w:rsidRPr="00987763" w:rsidRDefault="00364954" w:rsidP="00987763">
            <w:pPr>
              <w:pStyle w:val="HTML"/>
              <w:snapToGrid w:val="0"/>
              <w:spacing w:line="300" w:lineRule="auto"/>
              <w:ind w:left="516" w:hangingChars="215" w:hanging="516"/>
              <w:jc w:val="both"/>
              <w:rPr>
                <w:rFonts w:ascii="標楷體" w:eastAsia="標楷體" w:hAnsi="標楷體"/>
                <w:color w:val="auto"/>
              </w:rPr>
            </w:pPr>
            <w:r w:rsidRPr="00987763">
              <w:rPr>
                <w:rFonts w:ascii="標楷體" w:eastAsia="標楷體" w:hAnsi="標楷體" w:hint="eastAsia"/>
                <w:color w:val="auto"/>
              </w:rPr>
              <w:t>九、委託賣出依臺灣證券交易所股份有限公司「有價證券借貸辦法」第二章出借並已通知借券人於其賣出給付結算日前歸還之有價證券。</w:t>
            </w:r>
          </w:p>
          <w:p w:rsidR="00364954" w:rsidRPr="00987763" w:rsidRDefault="00364954" w:rsidP="00987763">
            <w:pPr>
              <w:pStyle w:val="HTML"/>
              <w:snapToGrid w:val="0"/>
              <w:spacing w:line="300" w:lineRule="auto"/>
              <w:ind w:left="516" w:hangingChars="215" w:hanging="516"/>
              <w:jc w:val="both"/>
              <w:rPr>
                <w:rFonts w:ascii="標楷體" w:eastAsia="標楷體" w:hAnsi="標楷體"/>
                <w:color w:val="auto"/>
              </w:rPr>
            </w:pPr>
            <w:r w:rsidRPr="00987763">
              <w:rPr>
                <w:rFonts w:ascii="標楷體" w:eastAsia="標楷體" w:hAnsi="標楷體" w:hint="eastAsia"/>
                <w:color w:val="auto"/>
              </w:rPr>
              <w:t>十、委託賣出已確認借券但尚未撥入之有價證券。</w:t>
            </w:r>
          </w:p>
          <w:p w:rsidR="00364954" w:rsidRPr="00987763" w:rsidRDefault="00364954" w:rsidP="00987763">
            <w:pPr>
              <w:pStyle w:val="HTML"/>
              <w:snapToGrid w:val="0"/>
              <w:spacing w:line="300" w:lineRule="auto"/>
              <w:ind w:left="773" w:hangingChars="322" w:hanging="773"/>
              <w:jc w:val="both"/>
              <w:rPr>
                <w:rFonts w:ascii="標楷體" w:eastAsia="標楷體" w:hAnsi="標楷體"/>
                <w:color w:val="auto"/>
              </w:rPr>
            </w:pPr>
            <w:r w:rsidRPr="00987763">
              <w:rPr>
                <w:rFonts w:ascii="標楷體" w:eastAsia="標楷體" w:hAnsi="標楷體" w:hint="eastAsia"/>
                <w:color w:val="auto"/>
              </w:rPr>
              <w:t>十一、委託賣出質權人處分設質之有價證券。</w:t>
            </w:r>
          </w:p>
          <w:p w:rsidR="00364954" w:rsidRPr="00987763" w:rsidRDefault="00364954" w:rsidP="00987763">
            <w:pPr>
              <w:pStyle w:val="HTML"/>
              <w:snapToGrid w:val="0"/>
              <w:spacing w:line="300" w:lineRule="auto"/>
              <w:ind w:left="773" w:hangingChars="322" w:hanging="773"/>
              <w:jc w:val="both"/>
              <w:rPr>
                <w:rFonts w:ascii="標楷體" w:eastAsia="標楷體" w:hAnsi="標楷體"/>
                <w:color w:val="auto"/>
              </w:rPr>
            </w:pPr>
            <w:r w:rsidRPr="00987763">
              <w:rPr>
                <w:rFonts w:ascii="標楷體" w:eastAsia="標楷體" w:hAnsi="標楷體" w:hint="eastAsia"/>
                <w:color w:val="auto"/>
              </w:rPr>
              <w:t>十二、委託賣出前一營業日認購權證申請履約且發行人已確認採證券交付之有價證券。</w:t>
            </w:r>
          </w:p>
          <w:p w:rsidR="00364954" w:rsidRPr="00987763" w:rsidRDefault="00364954" w:rsidP="00987763">
            <w:pPr>
              <w:pStyle w:val="HTML"/>
              <w:snapToGrid w:val="0"/>
              <w:spacing w:line="300" w:lineRule="auto"/>
              <w:ind w:left="773" w:hangingChars="322" w:hanging="773"/>
              <w:jc w:val="both"/>
              <w:rPr>
                <w:rFonts w:ascii="標楷體" w:eastAsia="標楷體" w:hAnsi="標楷體"/>
                <w:color w:val="auto"/>
              </w:rPr>
            </w:pPr>
            <w:r w:rsidRPr="00987763">
              <w:rPr>
                <w:rFonts w:ascii="標楷體" w:eastAsia="標楷體" w:hAnsi="標楷體" w:hint="eastAsia"/>
                <w:color w:val="auto"/>
              </w:rPr>
              <w:t>十三、依本中心指數股票型基金受益憑證買賣辦法第十三條規定，委託賣出指數股票型基</w:t>
            </w:r>
            <w:r w:rsidRPr="00987763">
              <w:rPr>
                <w:rFonts w:ascii="標楷體" w:eastAsia="標楷體" w:hAnsi="標楷體" w:hint="eastAsia"/>
                <w:color w:val="auto"/>
              </w:rPr>
              <w:lastRenderedPageBreak/>
              <w:t>金受益憑證或受益憑證股票組合。</w:t>
            </w:r>
          </w:p>
          <w:p w:rsidR="00364954" w:rsidRPr="00987763" w:rsidRDefault="00364954" w:rsidP="00987763">
            <w:pPr>
              <w:pStyle w:val="HTML"/>
              <w:snapToGrid w:val="0"/>
              <w:spacing w:line="300" w:lineRule="auto"/>
              <w:ind w:left="773" w:hangingChars="322" w:hanging="773"/>
              <w:jc w:val="both"/>
              <w:rPr>
                <w:rFonts w:ascii="標楷體" w:eastAsia="標楷體" w:hAnsi="標楷體"/>
                <w:color w:val="auto"/>
              </w:rPr>
            </w:pPr>
            <w:r w:rsidRPr="00987763">
              <w:rPr>
                <w:rFonts w:ascii="標楷體" w:eastAsia="標楷體" w:hAnsi="標楷體" w:hint="eastAsia"/>
                <w:color w:val="auto"/>
              </w:rPr>
              <w:t>十四、委託賣出前一營業日買進之有價證券。</w:t>
            </w:r>
          </w:p>
          <w:p w:rsidR="00364954" w:rsidRPr="00987763" w:rsidRDefault="00364954" w:rsidP="00987763">
            <w:pPr>
              <w:pStyle w:val="HTML"/>
              <w:snapToGrid w:val="0"/>
              <w:spacing w:line="300" w:lineRule="auto"/>
              <w:ind w:left="773" w:hangingChars="322" w:hanging="773"/>
              <w:jc w:val="both"/>
              <w:rPr>
                <w:rFonts w:ascii="標楷體" w:eastAsia="標楷體" w:hAnsi="標楷體"/>
                <w:color w:val="auto"/>
              </w:rPr>
            </w:pPr>
            <w:r w:rsidRPr="00987763">
              <w:rPr>
                <w:rFonts w:ascii="標楷體" w:eastAsia="標楷體" w:hAnsi="標楷體" w:hint="eastAsia"/>
                <w:color w:val="auto"/>
              </w:rPr>
              <w:t>十五、依「有價證券當日沖銷交易作業辦法」</w:t>
            </w:r>
            <w:r w:rsidRPr="00987763">
              <w:rPr>
                <w:rFonts w:ascii="標楷體" w:eastAsia="標楷體" w:hAnsi="標楷體" w:hint="eastAsia"/>
                <w:color w:val="auto"/>
                <w:u w:val="single"/>
              </w:rPr>
              <w:t>規定，委託賣出</w:t>
            </w:r>
            <w:r w:rsidRPr="00987763">
              <w:rPr>
                <w:rFonts w:ascii="標楷體" w:eastAsia="標楷體" w:hAnsi="標楷體" w:hint="eastAsia"/>
                <w:color w:val="auto"/>
              </w:rPr>
              <w:t>有價證券。</w:t>
            </w:r>
          </w:p>
          <w:p w:rsidR="00364954" w:rsidRPr="00987763" w:rsidRDefault="00364954" w:rsidP="00987763">
            <w:pPr>
              <w:pStyle w:val="HTML"/>
              <w:snapToGrid w:val="0"/>
              <w:spacing w:line="300" w:lineRule="auto"/>
              <w:ind w:left="773" w:hangingChars="322" w:hanging="773"/>
              <w:jc w:val="both"/>
              <w:rPr>
                <w:rFonts w:ascii="標楷體" w:eastAsia="標楷體" w:hAnsi="標楷體"/>
                <w:color w:val="auto"/>
              </w:rPr>
            </w:pPr>
            <w:r w:rsidRPr="00987763">
              <w:rPr>
                <w:rFonts w:ascii="標楷體" w:eastAsia="標楷體" w:hAnsi="標楷體" w:hint="eastAsia"/>
                <w:color w:val="auto"/>
                <w:u w:val="single"/>
              </w:rPr>
              <w:t>十六、委託賣出依「有價證券當日沖銷交易作業辦法」出借且於其賣出交割日前返還之有價證券。</w:t>
            </w:r>
          </w:p>
          <w:p w:rsidR="00364954" w:rsidRPr="00987763" w:rsidRDefault="00364954" w:rsidP="00987763">
            <w:pPr>
              <w:pStyle w:val="HTML"/>
              <w:snapToGrid w:val="0"/>
              <w:spacing w:line="300" w:lineRule="auto"/>
              <w:ind w:left="773" w:hangingChars="322" w:hanging="773"/>
              <w:jc w:val="both"/>
              <w:rPr>
                <w:rFonts w:ascii="標楷體" w:eastAsia="標楷體" w:hAnsi="標楷體"/>
                <w:color w:val="auto"/>
              </w:rPr>
            </w:pPr>
            <w:r w:rsidRPr="00987763">
              <w:rPr>
                <w:rFonts w:ascii="標楷體" w:eastAsia="標楷體" w:hAnsi="標楷體" w:hint="eastAsia"/>
                <w:color w:val="auto"/>
                <w:u w:val="single"/>
              </w:rPr>
              <w:t>十七</w:t>
            </w:r>
            <w:r w:rsidRPr="00987763">
              <w:rPr>
                <w:rFonts w:ascii="標楷體" w:eastAsia="標楷體" w:hAnsi="標楷體" w:hint="eastAsia"/>
                <w:color w:val="auto"/>
              </w:rPr>
              <w:t>、其他經本中心公告排除適用者。</w:t>
            </w:r>
          </w:p>
        </w:tc>
        <w:tc>
          <w:tcPr>
            <w:tcW w:w="3213" w:type="dxa"/>
            <w:shd w:val="clear" w:color="auto" w:fill="auto"/>
          </w:tcPr>
          <w:p w:rsidR="00364954" w:rsidRPr="00987763" w:rsidRDefault="00364954" w:rsidP="00987763">
            <w:pPr>
              <w:pStyle w:val="HTML"/>
              <w:snapToGrid w:val="0"/>
              <w:spacing w:line="300" w:lineRule="auto"/>
              <w:ind w:left="480" w:hangingChars="200" w:hanging="480"/>
              <w:jc w:val="both"/>
              <w:rPr>
                <w:rFonts w:ascii="標楷體" w:eastAsia="標楷體" w:hAnsi="標楷體"/>
                <w:color w:val="auto"/>
              </w:rPr>
            </w:pPr>
            <w:r w:rsidRPr="00987763">
              <w:rPr>
                <w:rFonts w:ascii="標楷體" w:eastAsia="標楷體" w:hAnsi="標楷體" w:hint="eastAsia"/>
                <w:color w:val="auto"/>
              </w:rPr>
              <w:lastRenderedPageBreak/>
              <w:t>第六十三條之一</w:t>
            </w:r>
          </w:p>
          <w:p w:rsidR="00364954" w:rsidRPr="00987763" w:rsidRDefault="00364954" w:rsidP="00987763">
            <w:pPr>
              <w:pStyle w:val="HTML"/>
              <w:snapToGrid w:val="0"/>
              <w:spacing w:line="300" w:lineRule="auto"/>
              <w:ind w:firstLineChars="200" w:firstLine="480"/>
              <w:jc w:val="both"/>
              <w:rPr>
                <w:rFonts w:ascii="標楷體" w:eastAsia="標楷體" w:hAnsi="標楷體"/>
                <w:color w:val="auto"/>
              </w:rPr>
            </w:pPr>
            <w:r w:rsidRPr="00987763">
              <w:rPr>
                <w:rFonts w:ascii="標楷體" w:eastAsia="標楷體" w:hAnsi="標楷體" w:hint="eastAsia"/>
                <w:color w:val="auto"/>
              </w:rPr>
              <w:t>證券經紀商受託賣出時，應確認委託數量不超過委託人在其保管劃撥帳戶餘額及其已交付現券送存之總和，但符合下列各款情事之一者，不在此限</w:t>
            </w:r>
            <w:r w:rsidRPr="00987763">
              <w:rPr>
                <w:rFonts w:ascii="標楷體" w:eastAsia="標楷體" w:hAnsi="標楷體" w:hint="eastAsia"/>
                <w:color w:val="auto"/>
                <w:u w:val="single"/>
              </w:rPr>
              <w:t>。</w:t>
            </w:r>
          </w:p>
          <w:p w:rsidR="00364954" w:rsidRPr="00987763" w:rsidRDefault="00364954" w:rsidP="00987763">
            <w:pPr>
              <w:pStyle w:val="HTML"/>
              <w:snapToGrid w:val="0"/>
              <w:spacing w:line="300" w:lineRule="auto"/>
              <w:ind w:left="480" w:hangingChars="200" w:hanging="480"/>
              <w:jc w:val="both"/>
              <w:rPr>
                <w:rFonts w:ascii="標楷體" w:eastAsia="標楷體" w:hAnsi="標楷體"/>
                <w:color w:val="auto"/>
              </w:rPr>
            </w:pPr>
            <w:r w:rsidRPr="00987763">
              <w:rPr>
                <w:rFonts w:ascii="標楷體" w:eastAsia="標楷體" w:hAnsi="標楷體" w:hint="eastAsia"/>
                <w:color w:val="auto"/>
              </w:rPr>
              <w:t>一、委由保管機構代辦給付結算事務。</w:t>
            </w:r>
          </w:p>
          <w:p w:rsidR="00364954" w:rsidRPr="00987763" w:rsidRDefault="00364954" w:rsidP="00987763">
            <w:pPr>
              <w:pStyle w:val="HTML"/>
              <w:snapToGrid w:val="0"/>
              <w:spacing w:line="300" w:lineRule="auto"/>
              <w:ind w:left="473" w:hangingChars="197" w:hanging="473"/>
              <w:jc w:val="both"/>
              <w:rPr>
                <w:rFonts w:ascii="標楷體" w:eastAsia="標楷體" w:hAnsi="標楷體"/>
                <w:color w:val="auto"/>
              </w:rPr>
            </w:pPr>
            <w:r w:rsidRPr="00987763">
              <w:rPr>
                <w:rFonts w:ascii="標楷體" w:eastAsia="標楷體" w:hAnsi="標楷體" w:hint="eastAsia"/>
                <w:color w:val="auto"/>
              </w:rPr>
              <w:lastRenderedPageBreak/>
              <w:t>二、委託融券賣出。</w:t>
            </w:r>
          </w:p>
          <w:p w:rsidR="00364954" w:rsidRPr="00987763" w:rsidRDefault="00364954" w:rsidP="00987763">
            <w:pPr>
              <w:pStyle w:val="HTML"/>
              <w:snapToGrid w:val="0"/>
              <w:spacing w:line="300" w:lineRule="auto"/>
              <w:ind w:left="480" w:hangingChars="200" w:hanging="480"/>
              <w:jc w:val="both"/>
              <w:rPr>
                <w:rFonts w:ascii="標楷體" w:eastAsia="標楷體" w:hAnsi="標楷體"/>
                <w:color w:val="auto"/>
              </w:rPr>
            </w:pPr>
            <w:r w:rsidRPr="00987763">
              <w:rPr>
                <w:rFonts w:ascii="標楷體" w:eastAsia="標楷體" w:hAnsi="標楷體" w:hint="eastAsia"/>
                <w:color w:val="auto"/>
              </w:rPr>
              <w:t>三、委託賣出償還融資。</w:t>
            </w:r>
          </w:p>
          <w:p w:rsidR="00364954" w:rsidRPr="00987763" w:rsidRDefault="00364954" w:rsidP="00987763">
            <w:pPr>
              <w:pStyle w:val="HTML"/>
              <w:snapToGrid w:val="0"/>
              <w:spacing w:line="300" w:lineRule="auto"/>
              <w:ind w:left="480" w:hangingChars="200" w:hanging="480"/>
              <w:jc w:val="both"/>
              <w:rPr>
                <w:rFonts w:ascii="標楷體" w:eastAsia="標楷體" w:hAnsi="標楷體"/>
                <w:color w:val="auto"/>
              </w:rPr>
            </w:pPr>
            <w:r w:rsidRPr="00987763">
              <w:rPr>
                <w:rFonts w:ascii="標楷體" w:eastAsia="標楷體" w:hAnsi="標楷體" w:hint="eastAsia"/>
                <w:color w:val="auto"/>
              </w:rPr>
              <w:t>四、委託賣出已了結信用交易之抵繳有價證券。</w:t>
            </w:r>
          </w:p>
          <w:p w:rsidR="00364954" w:rsidRPr="00987763" w:rsidRDefault="00364954" w:rsidP="00987763">
            <w:pPr>
              <w:pStyle w:val="HTML"/>
              <w:snapToGrid w:val="0"/>
              <w:spacing w:line="300" w:lineRule="auto"/>
              <w:ind w:left="480" w:hangingChars="200" w:hanging="480"/>
              <w:jc w:val="both"/>
              <w:rPr>
                <w:rFonts w:ascii="標楷體" w:eastAsia="標楷體" w:hAnsi="標楷體"/>
                <w:color w:val="auto"/>
              </w:rPr>
            </w:pPr>
            <w:r w:rsidRPr="00987763">
              <w:rPr>
                <w:rFonts w:ascii="標楷體" w:eastAsia="標楷體" w:hAnsi="標楷體" w:hint="eastAsia"/>
                <w:color w:val="auto"/>
              </w:rPr>
              <w:t>五、委託賣出借貸款項或交割款項融資所提供之擔保品。</w:t>
            </w:r>
          </w:p>
          <w:p w:rsidR="00364954" w:rsidRPr="00987763" w:rsidRDefault="00364954" w:rsidP="00987763">
            <w:pPr>
              <w:pStyle w:val="HTML"/>
              <w:snapToGrid w:val="0"/>
              <w:spacing w:line="300" w:lineRule="auto"/>
              <w:ind w:left="473" w:hangingChars="197" w:hanging="473"/>
              <w:jc w:val="both"/>
              <w:rPr>
                <w:rFonts w:ascii="標楷體" w:eastAsia="標楷體" w:hAnsi="標楷體"/>
                <w:color w:val="auto"/>
              </w:rPr>
            </w:pPr>
            <w:r w:rsidRPr="00987763">
              <w:rPr>
                <w:rFonts w:ascii="標楷體" w:eastAsia="標楷體" w:hAnsi="標楷體" w:hint="eastAsia"/>
                <w:color w:val="auto"/>
              </w:rPr>
              <w:t>六、委託賣出有價證券借貸得領回之擔保品。</w:t>
            </w:r>
          </w:p>
          <w:p w:rsidR="00364954" w:rsidRPr="00987763" w:rsidRDefault="00364954" w:rsidP="00987763">
            <w:pPr>
              <w:pStyle w:val="HTML"/>
              <w:snapToGrid w:val="0"/>
              <w:spacing w:line="300" w:lineRule="auto"/>
              <w:ind w:left="473" w:hangingChars="197" w:hanging="473"/>
              <w:jc w:val="both"/>
              <w:rPr>
                <w:rFonts w:ascii="標楷體" w:eastAsia="標楷體" w:hAnsi="標楷體"/>
                <w:color w:val="auto"/>
              </w:rPr>
            </w:pPr>
            <w:r w:rsidRPr="00987763">
              <w:rPr>
                <w:rFonts w:ascii="標楷體" w:eastAsia="標楷體" w:hAnsi="標楷體" w:hint="eastAsia"/>
                <w:color w:val="auto"/>
              </w:rPr>
              <w:t>七、委託賣出違約專戶之有價證券。</w:t>
            </w:r>
          </w:p>
          <w:p w:rsidR="00364954" w:rsidRPr="00987763" w:rsidRDefault="00364954" w:rsidP="00987763">
            <w:pPr>
              <w:pStyle w:val="HTML"/>
              <w:snapToGrid w:val="0"/>
              <w:spacing w:line="300" w:lineRule="auto"/>
              <w:ind w:left="516" w:hangingChars="215" w:hanging="516"/>
              <w:jc w:val="both"/>
              <w:rPr>
                <w:rFonts w:ascii="標楷體" w:eastAsia="標楷體" w:hAnsi="標楷體"/>
                <w:color w:val="auto"/>
              </w:rPr>
            </w:pPr>
            <w:r w:rsidRPr="00987763">
              <w:rPr>
                <w:rFonts w:ascii="標楷體" w:eastAsia="標楷體" w:hAnsi="標楷體" w:hint="eastAsia"/>
                <w:color w:val="auto"/>
              </w:rPr>
              <w:t>八、委託賣出前一營業日依本中心「有價證券借貸辦法」證券商或證券金融事業給付結算需求出借之有價證券。</w:t>
            </w:r>
          </w:p>
          <w:p w:rsidR="00364954" w:rsidRPr="00987763" w:rsidRDefault="00364954" w:rsidP="00987763">
            <w:pPr>
              <w:pStyle w:val="HTML"/>
              <w:snapToGrid w:val="0"/>
              <w:spacing w:line="300" w:lineRule="auto"/>
              <w:ind w:left="516" w:hangingChars="215" w:hanging="516"/>
              <w:jc w:val="both"/>
              <w:rPr>
                <w:rFonts w:ascii="標楷體" w:eastAsia="標楷體" w:hAnsi="標楷體"/>
                <w:color w:val="auto"/>
              </w:rPr>
            </w:pPr>
            <w:r w:rsidRPr="00987763">
              <w:rPr>
                <w:rFonts w:ascii="標楷體" w:eastAsia="標楷體" w:hAnsi="標楷體" w:hint="eastAsia"/>
                <w:color w:val="auto"/>
              </w:rPr>
              <w:t>九、委託賣出依臺灣證券交易所股份有限公司「有價證券借貸辦法」第二章出借並已通知借券人於其賣出給付結算日前歸還之有價證券。</w:t>
            </w:r>
          </w:p>
          <w:p w:rsidR="00364954" w:rsidRPr="00987763" w:rsidRDefault="00364954" w:rsidP="00987763">
            <w:pPr>
              <w:pStyle w:val="HTML"/>
              <w:snapToGrid w:val="0"/>
              <w:spacing w:line="300" w:lineRule="auto"/>
              <w:ind w:left="516" w:hangingChars="215" w:hanging="516"/>
              <w:jc w:val="both"/>
              <w:rPr>
                <w:rFonts w:ascii="標楷體" w:eastAsia="標楷體" w:hAnsi="標楷體"/>
                <w:color w:val="auto"/>
              </w:rPr>
            </w:pPr>
            <w:r w:rsidRPr="00987763">
              <w:rPr>
                <w:rFonts w:ascii="標楷體" w:eastAsia="標楷體" w:hAnsi="標楷體" w:hint="eastAsia"/>
                <w:color w:val="auto"/>
              </w:rPr>
              <w:t>十、委託賣出已確認借券但尚未撥入之有價證券。</w:t>
            </w:r>
          </w:p>
          <w:p w:rsidR="00364954" w:rsidRPr="00987763" w:rsidRDefault="00364954" w:rsidP="00987763">
            <w:pPr>
              <w:pStyle w:val="HTML"/>
              <w:snapToGrid w:val="0"/>
              <w:spacing w:line="300" w:lineRule="auto"/>
              <w:ind w:left="773" w:hangingChars="322" w:hanging="773"/>
              <w:jc w:val="both"/>
              <w:rPr>
                <w:rFonts w:ascii="標楷體" w:eastAsia="標楷體" w:hAnsi="標楷體"/>
                <w:color w:val="auto"/>
              </w:rPr>
            </w:pPr>
            <w:r w:rsidRPr="00987763">
              <w:rPr>
                <w:rFonts w:ascii="標楷體" w:eastAsia="標楷體" w:hAnsi="標楷體" w:hint="eastAsia"/>
                <w:color w:val="auto"/>
              </w:rPr>
              <w:t>十一、委託賣出質權人處分設質之有價證券。</w:t>
            </w:r>
          </w:p>
          <w:p w:rsidR="00364954" w:rsidRPr="00987763" w:rsidRDefault="00364954" w:rsidP="00987763">
            <w:pPr>
              <w:pStyle w:val="HTML"/>
              <w:snapToGrid w:val="0"/>
              <w:spacing w:line="300" w:lineRule="auto"/>
              <w:ind w:left="773" w:hangingChars="322" w:hanging="773"/>
              <w:jc w:val="both"/>
              <w:rPr>
                <w:rFonts w:ascii="標楷體" w:eastAsia="標楷體" w:hAnsi="標楷體"/>
                <w:color w:val="auto"/>
              </w:rPr>
            </w:pPr>
            <w:r w:rsidRPr="00987763">
              <w:rPr>
                <w:rFonts w:ascii="標楷體" w:eastAsia="標楷體" w:hAnsi="標楷體" w:hint="eastAsia"/>
                <w:color w:val="auto"/>
              </w:rPr>
              <w:t>十二、委託賣出前一營業日認購權證申請履約且發行人已確認採證券交付之有價證券。</w:t>
            </w:r>
          </w:p>
          <w:p w:rsidR="00364954" w:rsidRPr="00987763" w:rsidRDefault="00364954" w:rsidP="00987763">
            <w:pPr>
              <w:pStyle w:val="HTML"/>
              <w:snapToGrid w:val="0"/>
              <w:spacing w:line="300" w:lineRule="auto"/>
              <w:ind w:left="773" w:hangingChars="322" w:hanging="773"/>
              <w:jc w:val="both"/>
              <w:rPr>
                <w:rFonts w:ascii="標楷體" w:eastAsia="標楷體" w:hAnsi="標楷體"/>
                <w:color w:val="auto"/>
              </w:rPr>
            </w:pPr>
            <w:r w:rsidRPr="00987763">
              <w:rPr>
                <w:rFonts w:ascii="標楷體" w:eastAsia="標楷體" w:hAnsi="標楷體" w:hint="eastAsia"/>
                <w:color w:val="auto"/>
              </w:rPr>
              <w:t>十三、依本中心指數股票型基金受益憑證買賣辦法第十三條規定，委託賣出指數股票型基</w:t>
            </w:r>
            <w:r w:rsidRPr="00987763">
              <w:rPr>
                <w:rFonts w:ascii="標楷體" w:eastAsia="標楷體" w:hAnsi="標楷體" w:hint="eastAsia"/>
                <w:color w:val="auto"/>
              </w:rPr>
              <w:lastRenderedPageBreak/>
              <w:t>金受益憑證或受益憑證股票組合。</w:t>
            </w:r>
          </w:p>
          <w:p w:rsidR="00364954" w:rsidRPr="00987763" w:rsidRDefault="00364954" w:rsidP="00987763">
            <w:pPr>
              <w:pStyle w:val="HTML"/>
              <w:snapToGrid w:val="0"/>
              <w:spacing w:line="300" w:lineRule="auto"/>
              <w:ind w:left="773" w:hangingChars="322" w:hanging="773"/>
              <w:jc w:val="both"/>
              <w:rPr>
                <w:rFonts w:ascii="標楷體" w:eastAsia="標楷體" w:hAnsi="標楷體"/>
                <w:color w:val="auto"/>
              </w:rPr>
            </w:pPr>
            <w:r w:rsidRPr="00987763">
              <w:rPr>
                <w:rFonts w:ascii="標楷體" w:eastAsia="標楷體" w:hAnsi="標楷體" w:hint="eastAsia"/>
                <w:color w:val="auto"/>
              </w:rPr>
              <w:t>十四、委託賣出前一營業日買進之有價證券。</w:t>
            </w:r>
          </w:p>
          <w:p w:rsidR="00364954" w:rsidRPr="00987763" w:rsidRDefault="00364954" w:rsidP="00987763">
            <w:pPr>
              <w:pStyle w:val="HTML"/>
              <w:snapToGrid w:val="0"/>
              <w:spacing w:line="300" w:lineRule="auto"/>
              <w:ind w:left="773" w:hangingChars="322" w:hanging="773"/>
              <w:jc w:val="both"/>
              <w:rPr>
                <w:rFonts w:ascii="標楷體" w:eastAsia="標楷體" w:hAnsi="標楷體"/>
                <w:color w:val="auto"/>
              </w:rPr>
            </w:pPr>
            <w:r w:rsidRPr="00987763">
              <w:rPr>
                <w:rFonts w:ascii="標楷體" w:eastAsia="標楷體" w:hAnsi="標楷體" w:hint="eastAsia"/>
                <w:color w:val="auto"/>
              </w:rPr>
              <w:t>十五</w:t>
            </w:r>
            <w:r w:rsidR="00AB7403" w:rsidRPr="00987763">
              <w:rPr>
                <w:rFonts w:ascii="標楷體" w:eastAsia="標楷體" w:hAnsi="標楷體" w:hint="eastAsia"/>
                <w:color w:val="auto"/>
              </w:rPr>
              <w:t>、</w:t>
            </w:r>
            <w:r w:rsidRPr="00987763">
              <w:rPr>
                <w:rFonts w:ascii="標楷體" w:eastAsia="標楷體" w:hAnsi="標楷體" w:hint="eastAsia"/>
                <w:color w:val="auto"/>
                <w:u w:val="single"/>
              </w:rPr>
              <w:t>委託賣出當日已</w:t>
            </w:r>
            <w:r w:rsidRPr="00987763">
              <w:rPr>
                <w:rFonts w:ascii="標楷體" w:eastAsia="標楷體" w:hAnsi="標楷體" w:hint="eastAsia"/>
                <w:color w:val="auto"/>
              </w:rPr>
              <w:t>依「有價證券當日沖銷交易作業辦法」</w:t>
            </w:r>
            <w:r w:rsidRPr="00987763">
              <w:rPr>
                <w:rFonts w:ascii="標楷體" w:eastAsia="標楷體" w:hAnsi="標楷體" w:hint="eastAsia"/>
                <w:color w:val="auto"/>
                <w:u w:val="single"/>
              </w:rPr>
              <w:t>買進之</w:t>
            </w:r>
            <w:r w:rsidRPr="00987763">
              <w:rPr>
                <w:rFonts w:ascii="標楷體" w:eastAsia="標楷體" w:hAnsi="標楷體" w:hint="eastAsia"/>
                <w:color w:val="auto"/>
              </w:rPr>
              <w:t>有價證券。</w:t>
            </w:r>
          </w:p>
          <w:p w:rsidR="00364954" w:rsidRPr="00987763" w:rsidRDefault="00364954" w:rsidP="00987763">
            <w:pPr>
              <w:pStyle w:val="HTML"/>
              <w:snapToGrid w:val="0"/>
              <w:spacing w:line="300" w:lineRule="auto"/>
              <w:ind w:left="600" w:hangingChars="250" w:hanging="600"/>
              <w:jc w:val="both"/>
              <w:rPr>
                <w:rFonts w:ascii="標楷體" w:eastAsia="標楷體" w:hAnsi="標楷體"/>
                <w:color w:val="auto"/>
              </w:rPr>
            </w:pPr>
          </w:p>
          <w:p w:rsidR="00364954" w:rsidRPr="00987763" w:rsidRDefault="00364954" w:rsidP="00987763">
            <w:pPr>
              <w:pStyle w:val="HTML"/>
              <w:snapToGrid w:val="0"/>
              <w:spacing w:line="300" w:lineRule="auto"/>
              <w:ind w:left="600" w:hangingChars="250" w:hanging="600"/>
              <w:jc w:val="both"/>
              <w:rPr>
                <w:rFonts w:ascii="標楷體" w:eastAsia="標楷體" w:hAnsi="標楷體"/>
                <w:color w:val="auto"/>
              </w:rPr>
            </w:pPr>
          </w:p>
          <w:p w:rsidR="00364954" w:rsidRPr="00987763" w:rsidRDefault="00364954" w:rsidP="00987763">
            <w:pPr>
              <w:pStyle w:val="HTML"/>
              <w:snapToGrid w:val="0"/>
              <w:spacing w:line="300" w:lineRule="auto"/>
              <w:ind w:left="600" w:hangingChars="250" w:hanging="600"/>
              <w:jc w:val="both"/>
              <w:rPr>
                <w:rFonts w:ascii="標楷體" w:eastAsia="標楷體" w:hAnsi="標楷體"/>
                <w:color w:val="auto"/>
              </w:rPr>
            </w:pPr>
          </w:p>
          <w:p w:rsidR="00364954" w:rsidRPr="00987763" w:rsidRDefault="00364954" w:rsidP="00987763">
            <w:pPr>
              <w:pStyle w:val="HTML"/>
              <w:snapToGrid w:val="0"/>
              <w:spacing w:line="300" w:lineRule="auto"/>
              <w:ind w:left="600" w:hangingChars="250" w:hanging="600"/>
              <w:jc w:val="both"/>
              <w:rPr>
                <w:rFonts w:ascii="標楷體" w:eastAsia="標楷體" w:hAnsi="標楷體"/>
                <w:color w:val="auto"/>
              </w:rPr>
            </w:pPr>
          </w:p>
          <w:p w:rsidR="00364954" w:rsidRPr="00987763" w:rsidRDefault="00364954" w:rsidP="00987763">
            <w:pPr>
              <w:pStyle w:val="HTML"/>
              <w:snapToGrid w:val="0"/>
              <w:spacing w:line="300" w:lineRule="auto"/>
              <w:ind w:left="600" w:hangingChars="250" w:hanging="600"/>
              <w:jc w:val="both"/>
              <w:rPr>
                <w:rFonts w:ascii="標楷體" w:eastAsia="標楷體" w:hAnsi="標楷體"/>
                <w:color w:val="auto"/>
              </w:rPr>
            </w:pPr>
          </w:p>
          <w:p w:rsidR="00364954" w:rsidRPr="00987763" w:rsidRDefault="00364954" w:rsidP="00987763">
            <w:pPr>
              <w:pStyle w:val="HTML"/>
              <w:snapToGrid w:val="0"/>
              <w:spacing w:line="300" w:lineRule="auto"/>
              <w:ind w:left="773" w:hangingChars="322" w:hanging="773"/>
              <w:jc w:val="both"/>
              <w:rPr>
                <w:rFonts w:ascii="標楷體" w:eastAsia="標楷體" w:hAnsi="標楷體"/>
                <w:color w:val="auto"/>
              </w:rPr>
            </w:pPr>
            <w:r w:rsidRPr="00987763">
              <w:rPr>
                <w:rFonts w:ascii="標楷體" w:eastAsia="標楷體" w:hAnsi="標楷體" w:hint="eastAsia"/>
                <w:color w:val="auto"/>
              </w:rPr>
              <w:t>十六、其他經本中心公告排除適用者。</w:t>
            </w:r>
          </w:p>
        </w:tc>
        <w:tc>
          <w:tcPr>
            <w:tcW w:w="3214" w:type="dxa"/>
            <w:shd w:val="clear" w:color="auto" w:fill="auto"/>
          </w:tcPr>
          <w:p w:rsidR="00364954" w:rsidRPr="00987763" w:rsidRDefault="00364954" w:rsidP="00987763">
            <w:pPr>
              <w:snapToGrid w:val="0"/>
              <w:spacing w:line="300" w:lineRule="auto"/>
              <w:jc w:val="both"/>
              <w:rPr>
                <w:rFonts w:ascii="標楷體" w:eastAsia="標楷體" w:hAnsi="標楷體"/>
                <w:szCs w:val="24"/>
              </w:rPr>
            </w:pPr>
            <w:r w:rsidRPr="00987763">
              <w:rPr>
                <w:rFonts w:ascii="標楷體" w:eastAsia="標楷體" w:hAnsi="標楷體" w:hint="eastAsia"/>
                <w:szCs w:val="24"/>
              </w:rPr>
              <w:lastRenderedPageBreak/>
              <w:t>開放委託人得從事有價證券先賣出後買進之當日沖銷，爰修訂第十五款規定。另配合新增應付當日沖銷交易券差借券作業，新增第十六款規定，原第十六款規定移至第十七款。</w:t>
            </w:r>
          </w:p>
          <w:p w:rsidR="00364954" w:rsidRPr="00987763" w:rsidRDefault="00364954" w:rsidP="00987763">
            <w:pPr>
              <w:snapToGrid w:val="0"/>
              <w:spacing w:line="300" w:lineRule="auto"/>
              <w:ind w:left="422" w:hangingChars="176" w:hanging="422"/>
              <w:jc w:val="both"/>
              <w:rPr>
                <w:rFonts w:ascii="標楷體" w:eastAsia="標楷體" w:hAnsi="標楷體"/>
                <w:szCs w:val="24"/>
              </w:rPr>
            </w:pPr>
          </w:p>
        </w:tc>
      </w:tr>
      <w:tr w:rsidR="00364954" w:rsidRPr="00987763" w:rsidTr="00987763">
        <w:trPr>
          <w:jc w:val="center"/>
        </w:trPr>
        <w:tc>
          <w:tcPr>
            <w:tcW w:w="3213" w:type="dxa"/>
            <w:shd w:val="clear" w:color="auto" w:fill="auto"/>
          </w:tcPr>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cs="細明體"/>
                <w:kern w:val="0"/>
                <w:szCs w:val="24"/>
              </w:rPr>
            </w:pPr>
            <w:r w:rsidRPr="00987763">
              <w:rPr>
                <w:rFonts w:ascii="標楷體" w:eastAsia="標楷體" w:hAnsi="標楷體"/>
                <w:szCs w:val="24"/>
              </w:rPr>
              <w:lastRenderedPageBreak/>
              <w:t>第</w:t>
            </w:r>
            <w:r w:rsidRPr="00987763">
              <w:rPr>
                <w:rFonts w:ascii="標楷體" w:eastAsia="標楷體" w:hAnsi="標楷體" w:hint="eastAsia"/>
                <w:szCs w:val="24"/>
              </w:rPr>
              <w:t>八十二</w:t>
            </w:r>
            <w:r w:rsidRPr="00987763">
              <w:rPr>
                <w:rFonts w:ascii="標楷體" w:eastAsia="標楷體" w:hAnsi="標楷體"/>
                <w:szCs w:val="24"/>
              </w:rPr>
              <w:t>條</w:t>
            </w: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80"/>
              <w:jc w:val="both"/>
              <w:rPr>
                <w:rFonts w:ascii="標楷體" w:eastAsia="標楷體" w:hAnsi="標楷體"/>
                <w:sz w:val="28"/>
              </w:rPr>
            </w:pPr>
            <w:r w:rsidRPr="00987763">
              <w:rPr>
                <w:rFonts w:ascii="標楷體" w:eastAsia="標楷體" w:hAnsi="標楷體" w:cs="細明體"/>
                <w:kern w:val="0"/>
                <w:szCs w:val="24"/>
              </w:rPr>
              <w:t>證券經紀商於買賣申報成交後，應製作買賣報告書交由客戶簽章。但兼營證券業務之金融機構，對客戶買賣證券價款之收付，因客戶設有存款專戶可資查對者，得免製作買賣報告書。</w:t>
            </w: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80"/>
              <w:jc w:val="both"/>
              <w:rPr>
                <w:rFonts w:ascii="標楷體" w:eastAsia="標楷體" w:hAnsi="標楷體" w:cs="細明體"/>
                <w:kern w:val="0"/>
                <w:szCs w:val="24"/>
              </w:rPr>
            </w:pPr>
            <w:r w:rsidRPr="00987763">
              <w:rPr>
                <w:rFonts w:ascii="標楷體" w:eastAsia="標楷體" w:hAnsi="標楷體" w:hint="eastAsia"/>
                <w:szCs w:val="24"/>
                <w:u w:val="single"/>
              </w:rPr>
              <w:t>證券</w:t>
            </w:r>
            <w:r w:rsidRPr="00987763">
              <w:rPr>
                <w:rFonts w:ascii="標楷體" w:eastAsia="標楷體" w:hAnsi="標楷體" w:cs="細明體"/>
                <w:kern w:val="0"/>
                <w:szCs w:val="24"/>
                <w:u w:val="single"/>
              </w:rPr>
              <w:t>經紀商應依本中心「櫃檯買賣有價證券開戶契約」第五條規定，</w:t>
            </w:r>
            <w:r w:rsidRPr="00987763">
              <w:rPr>
                <w:rFonts w:ascii="標楷體" w:eastAsia="標楷體" w:hAnsi="標楷體" w:cs="細明體" w:hint="eastAsia"/>
                <w:kern w:val="0"/>
                <w:szCs w:val="24"/>
                <w:u w:val="single"/>
              </w:rPr>
              <w:t>向客戶</w:t>
            </w:r>
            <w:r w:rsidRPr="00987763">
              <w:rPr>
                <w:rFonts w:ascii="標楷體" w:eastAsia="標楷體" w:hAnsi="標楷體" w:hint="eastAsia"/>
                <w:szCs w:val="24"/>
                <w:u w:val="single"/>
              </w:rPr>
              <w:t>收取買進應付價款、賣出之有價證券或依「有價證券當日沖銷交易作業辦法」收取買賣沖銷後之差價。</w:t>
            </w:r>
            <w:r w:rsidRPr="00987763">
              <w:rPr>
                <w:rFonts w:ascii="標楷體" w:eastAsia="標楷體" w:hAnsi="標楷體" w:cs="細明體"/>
                <w:kern w:val="0"/>
                <w:szCs w:val="24"/>
              </w:rPr>
              <w:t>信用交易之買賣委託，證券經紀商應依本中心「櫃檯買賣有價證券開戶契約」第五條規定，向客戶收取融資自備款或融</w:t>
            </w:r>
            <w:r w:rsidRPr="00987763">
              <w:rPr>
                <w:rFonts w:ascii="標楷體" w:eastAsia="標楷體" w:hAnsi="標楷體" w:cs="細明體"/>
                <w:kern w:val="0"/>
                <w:szCs w:val="24"/>
              </w:rPr>
              <w:lastRenderedPageBreak/>
              <w:t>券保證金。</w:t>
            </w: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cs="細明體"/>
                <w:kern w:val="0"/>
                <w:szCs w:val="24"/>
              </w:rPr>
            </w:pPr>
            <w:r w:rsidRPr="00987763">
              <w:rPr>
                <w:rFonts w:ascii="標楷體" w:eastAsia="標楷體" w:hAnsi="標楷體" w:cs="細明體" w:hint="eastAsia"/>
                <w:kern w:val="0"/>
                <w:szCs w:val="24"/>
              </w:rPr>
              <w:t>(以下未修正，略</w:t>
            </w:r>
            <w:r w:rsidRPr="00987763">
              <w:rPr>
                <w:rFonts w:ascii="新細明體" w:hAnsi="新細明體" w:cs="細明體" w:hint="eastAsia"/>
                <w:kern w:val="0"/>
                <w:szCs w:val="24"/>
              </w:rPr>
              <w:t>。</w:t>
            </w:r>
            <w:r w:rsidRPr="00987763">
              <w:rPr>
                <w:rFonts w:ascii="標楷體" w:eastAsia="標楷體" w:hAnsi="標楷體" w:cs="細明體" w:hint="eastAsia"/>
                <w:kern w:val="0"/>
                <w:szCs w:val="24"/>
              </w:rPr>
              <w:t>)</w:t>
            </w: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szCs w:val="24"/>
              </w:rPr>
            </w:pPr>
          </w:p>
        </w:tc>
        <w:tc>
          <w:tcPr>
            <w:tcW w:w="3213" w:type="dxa"/>
            <w:shd w:val="clear" w:color="auto" w:fill="auto"/>
          </w:tcPr>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cs="細明體"/>
                <w:kern w:val="0"/>
                <w:szCs w:val="24"/>
              </w:rPr>
            </w:pPr>
            <w:r w:rsidRPr="00987763">
              <w:rPr>
                <w:rFonts w:ascii="標楷體" w:eastAsia="標楷體" w:hAnsi="標楷體"/>
                <w:szCs w:val="24"/>
              </w:rPr>
              <w:lastRenderedPageBreak/>
              <w:t>第</w:t>
            </w:r>
            <w:r w:rsidRPr="00987763">
              <w:rPr>
                <w:rFonts w:ascii="標楷體" w:eastAsia="標楷體" w:hAnsi="標楷體" w:hint="eastAsia"/>
                <w:szCs w:val="24"/>
              </w:rPr>
              <w:t>八十二</w:t>
            </w:r>
            <w:r w:rsidRPr="00987763">
              <w:rPr>
                <w:rFonts w:ascii="標楷體" w:eastAsia="標楷體" w:hAnsi="標楷體"/>
                <w:szCs w:val="24"/>
              </w:rPr>
              <w:t>條</w:t>
            </w: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80"/>
              <w:jc w:val="both"/>
              <w:rPr>
                <w:rFonts w:ascii="標楷體" w:eastAsia="標楷體" w:hAnsi="標楷體" w:cs="細明體"/>
                <w:kern w:val="0"/>
                <w:szCs w:val="24"/>
              </w:rPr>
            </w:pPr>
            <w:r w:rsidRPr="00987763">
              <w:rPr>
                <w:rFonts w:ascii="標楷體" w:eastAsia="標楷體" w:hAnsi="標楷體" w:cs="細明體"/>
                <w:kern w:val="0"/>
                <w:szCs w:val="24"/>
              </w:rPr>
              <w:t>證券經紀商於買賣申報成交後，應製作買賣報告書交由客戶簽章。但兼營證券業務之金融機構，對客戶買賣證券價款之收付，因客戶設有存款專戶可資查對者，得免製作買賣報告書。</w:t>
            </w: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80"/>
              <w:jc w:val="both"/>
              <w:rPr>
                <w:rFonts w:ascii="標楷體" w:eastAsia="標楷體" w:hAnsi="標楷體" w:cs="細明體"/>
                <w:kern w:val="0"/>
                <w:szCs w:val="24"/>
              </w:rPr>
            </w:pPr>
            <w:r w:rsidRPr="00987763">
              <w:rPr>
                <w:rFonts w:ascii="標楷體" w:eastAsia="標楷體" w:hAnsi="標楷體" w:cs="細明體"/>
                <w:kern w:val="0"/>
                <w:szCs w:val="24"/>
              </w:rPr>
              <w:t>信用交易之買賣委託，證券經紀商應依本中心「櫃檯買賣有價證券開戶契約」第五條規定，向客戶收取融資自備款或融券保證金。</w:t>
            </w: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cs="細明體"/>
                <w:kern w:val="0"/>
                <w:szCs w:val="24"/>
              </w:rPr>
            </w:pP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cs="細明體"/>
                <w:kern w:val="0"/>
                <w:szCs w:val="24"/>
              </w:rPr>
            </w:pP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cs="細明體"/>
                <w:kern w:val="0"/>
                <w:szCs w:val="24"/>
              </w:rPr>
            </w:pP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cs="細明體"/>
                <w:kern w:val="0"/>
                <w:szCs w:val="24"/>
              </w:rPr>
            </w:pP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cs="細明體"/>
                <w:kern w:val="0"/>
                <w:szCs w:val="24"/>
              </w:rPr>
            </w:pP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cs="細明體"/>
                <w:kern w:val="0"/>
                <w:szCs w:val="24"/>
              </w:rPr>
            </w:pP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cs="細明體"/>
                <w:kern w:val="0"/>
                <w:szCs w:val="24"/>
              </w:rPr>
            </w:pP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szCs w:val="24"/>
              </w:rPr>
            </w:pPr>
            <w:r w:rsidRPr="00987763">
              <w:rPr>
                <w:rFonts w:ascii="標楷體" w:eastAsia="標楷體" w:hAnsi="標楷體" w:cs="細明體" w:hint="eastAsia"/>
                <w:kern w:val="0"/>
                <w:szCs w:val="24"/>
              </w:rPr>
              <w:t>(以下未修正，略</w:t>
            </w:r>
            <w:r w:rsidRPr="00987763">
              <w:rPr>
                <w:rFonts w:ascii="新細明體" w:hAnsi="新細明體" w:cs="細明體" w:hint="eastAsia"/>
                <w:kern w:val="0"/>
                <w:szCs w:val="24"/>
              </w:rPr>
              <w:t>。</w:t>
            </w:r>
            <w:r w:rsidRPr="00987763">
              <w:rPr>
                <w:rFonts w:ascii="標楷體" w:eastAsia="標楷體" w:hAnsi="標楷體" w:cs="細明體" w:hint="eastAsia"/>
                <w:kern w:val="0"/>
                <w:szCs w:val="24"/>
              </w:rPr>
              <w:t>)</w:t>
            </w:r>
          </w:p>
        </w:tc>
        <w:tc>
          <w:tcPr>
            <w:tcW w:w="3214" w:type="dxa"/>
            <w:shd w:val="clear" w:color="auto" w:fill="auto"/>
          </w:tcPr>
          <w:p w:rsidR="00364954" w:rsidRPr="00987763" w:rsidRDefault="00364954" w:rsidP="00987763">
            <w:pPr>
              <w:snapToGrid w:val="0"/>
              <w:spacing w:line="300" w:lineRule="auto"/>
              <w:jc w:val="both"/>
              <w:rPr>
                <w:rFonts w:ascii="標楷體" w:eastAsia="標楷體" w:hAnsi="標楷體"/>
                <w:szCs w:val="24"/>
              </w:rPr>
            </w:pPr>
            <w:r w:rsidRPr="00987763">
              <w:rPr>
                <w:rFonts w:ascii="標楷體" w:eastAsia="標楷體" w:hAnsi="標楷體" w:hint="eastAsia"/>
                <w:bCs/>
                <w:szCs w:val="24"/>
              </w:rPr>
              <w:lastRenderedPageBreak/>
              <w:t>配合進一步開放先賣後買之當日沖銷模式，及參考目前</w:t>
            </w:r>
            <w:r w:rsidRPr="00987763">
              <w:rPr>
                <w:rFonts w:ascii="標楷體" w:eastAsia="標楷體" w:hAnsi="標楷體" w:cs="細明體"/>
                <w:kern w:val="0"/>
                <w:szCs w:val="24"/>
              </w:rPr>
              <w:t>「櫃檯買賣有價證券開戶契約」</w:t>
            </w:r>
            <w:r w:rsidRPr="00987763">
              <w:rPr>
                <w:rFonts w:ascii="標楷體" w:eastAsia="標楷體" w:hAnsi="標楷體" w:cs="細明體" w:hint="eastAsia"/>
                <w:kern w:val="0"/>
                <w:szCs w:val="24"/>
              </w:rPr>
              <w:t>之規範內容，爰修正第二項明訂證券經紀商向客戶收取買進價款、賣出證券或買賣沖銷後差價之權利，以期規範明確。</w:t>
            </w:r>
          </w:p>
        </w:tc>
      </w:tr>
      <w:tr w:rsidR="00364954" w:rsidRPr="00987763" w:rsidTr="00987763">
        <w:trPr>
          <w:jc w:val="center"/>
        </w:trPr>
        <w:tc>
          <w:tcPr>
            <w:tcW w:w="3213" w:type="dxa"/>
            <w:shd w:val="clear" w:color="auto" w:fill="auto"/>
          </w:tcPr>
          <w:p w:rsidR="00364954" w:rsidRPr="00987763" w:rsidRDefault="00364954" w:rsidP="00987763">
            <w:pPr>
              <w:pStyle w:val="HTML"/>
              <w:snapToGrid w:val="0"/>
              <w:spacing w:line="300" w:lineRule="auto"/>
              <w:jc w:val="both"/>
              <w:rPr>
                <w:rFonts w:ascii="標楷體" w:eastAsia="標楷體" w:hAnsi="標楷體"/>
                <w:color w:val="000000"/>
              </w:rPr>
            </w:pPr>
            <w:r w:rsidRPr="00987763">
              <w:rPr>
                <w:rFonts w:ascii="標楷體" w:eastAsia="標楷體" w:hAnsi="標楷體"/>
                <w:color w:val="000000"/>
              </w:rPr>
              <w:lastRenderedPageBreak/>
              <w:t>第</w:t>
            </w:r>
            <w:r w:rsidRPr="00987763">
              <w:rPr>
                <w:rFonts w:ascii="標楷體" w:eastAsia="標楷體" w:hAnsi="標楷體" w:hint="eastAsia"/>
                <w:color w:val="000000"/>
              </w:rPr>
              <w:t>八十六</w:t>
            </w:r>
            <w:r w:rsidRPr="00987763">
              <w:rPr>
                <w:rFonts w:ascii="標楷體" w:eastAsia="標楷體" w:hAnsi="標楷體"/>
                <w:color w:val="000000"/>
              </w:rPr>
              <w:t>條</w:t>
            </w:r>
            <w:r w:rsidRPr="00987763">
              <w:rPr>
                <w:rFonts w:ascii="標楷體" w:eastAsia="標楷體" w:hAnsi="標楷體" w:hint="eastAsia"/>
                <w:color w:val="000000"/>
              </w:rPr>
              <w:t>之一</w:t>
            </w: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cs="細明體"/>
                <w:kern w:val="0"/>
                <w:szCs w:val="24"/>
              </w:rPr>
            </w:pPr>
            <w:r w:rsidRPr="00987763">
              <w:rPr>
                <w:rFonts w:ascii="標楷體" w:eastAsia="標楷體" w:hAnsi="標楷體" w:cs="細明體" w:hint="eastAsia"/>
                <w:kern w:val="0"/>
                <w:szCs w:val="24"/>
              </w:rPr>
              <w:t>(第一至第三項未修正，略。)</w:t>
            </w: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cs="細明體"/>
                <w:kern w:val="0"/>
                <w:szCs w:val="24"/>
              </w:rPr>
            </w:pP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80"/>
              <w:jc w:val="both"/>
              <w:rPr>
                <w:rFonts w:ascii="標楷體" w:eastAsia="標楷體" w:hAnsi="標楷體" w:cs="細明體"/>
                <w:kern w:val="0"/>
                <w:szCs w:val="24"/>
              </w:rPr>
            </w:pPr>
            <w:r w:rsidRPr="00987763">
              <w:rPr>
                <w:rFonts w:ascii="標楷體" w:eastAsia="標楷體" w:hAnsi="標楷體" w:cs="細明體"/>
                <w:kern w:val="0"/>
                <w:szCs w:val="24"/>
              </w:rPr>
              <w:t>證券金融事業取得融券差額所為之標借、議借及標購，</w:t>
            </w:r>
            <w:r w:rsidRPr="00987763">
              <w:rPr>
                <w:rFonts w:ascii="標楷體" w:eastAsia="標楷體" w:hAnsi="標楷體" w:cs="細明體" w:hint="eastAsia"/>
                <w:color w:val="000000"/>
                <w:szCs w:val="24"/>
                <w:u w:val="single"/>
              </w:rPr>
              <w:t>或</w:t>
            </w:r>
            <w:r w:rsidRPr="00987763">
              <w:rPr>
                <w:rFonts w:ascii="標楷體" w:eastAsia="標楷體" w:hAnsi="標楷體" w:cs="細明體"/>
                <w:color w:val="000000"/>
                <w:szCs w:val="24"/>
                <w:u w:val="single"/>
              </w:rPr>
              <w:t>證券金融事業</w:t>
            </w:r>
            <w:r w:rsidRPr="00987763">
              <w:rPr>
                <w:rFonts w:ascii="標楷體" w:eastAsia="標楷體" w:hAnsi="標楷體" w:cs="細明體" w:hint="eastAsia"/>
                <w:color w:val="000000"/>
                <w:szCs w:val="24"/>
                <w:u w:val="single"/>
              </w:rPr>
              <w:t>接受證券商委託代理因當日沖銷交易券差所為</w:t>
            </w:r>
            <w:r w:rsidRPr="00987763">
              <w:rPr>
                <w:rFonts w:ascii="標楷體" w:eastAsia="標楷體" w:hAnsi="標楷體" w:cs="細明體"/>
                <w:color w:val="000000"/>
                <w:szCs w:val="24"/>
                <w:u w:val="single"/>
              </w:rPr>
              <w:t>之標借、議借</w:t>
            </w:r>
            <w:r w:rsidRPr="00987763">
              <w:rPr>
                <w:rFonts w:ascii="標楷體" w:eastAsia="標楷體" w:hAnsi="標楷體"/>
                <w:color w:val="000000"/>
                <w:szCs w:val="24"/>
                <w:u w:val="single"/>
              </w:rPr>
              <w:t>，</w:t>
            </w:r>
            <w:r w:rsidRPr="00987763">
              <w:rPr>
                <w:rFonts w:ascii="標楷體" w:eastAsia="標楷體" w:hAnsi="標楷體" w:cs="細明體"/>
                <w:kern w:val="0"/>
                <w:szCs w:val="24"/>
              </w:rPr>
              <w:t>依本中心「有價證券借貸辦法」規定辦理。</w:t>
            </w: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80"/>
              <w:jc w:val="both"/>
              <w:rPr>
                <w:rFonts w:ascii="標楷體" w:eastAsia="標楷體" w:hAnsi="標楷體" w:cs="新細明體"/>
                <w:kern w:val="0"/>
                <w:szCs w:val="24"/>
              </w:rPr>
            </w:pPr>
            <w:r w:rsidRPr="00987763">
              <w:rPr>
                <w:rFonts w:ascii="標楷體" w:eastAsia="標楷體" w:hAnsi="標楷體" w:cs="細明體"/>
                <w:kern w:val="0"/>
                <w:szCs w:val="24"/>
              </w:rPr>
              <w:t>本中心「有價證券借貸辦法」及「櫃檯買賣證券支付憑單」之格式由本中</w:t>
            </w:r>
            <w:r w:rsidRPr="00987763">
              <w:rPr>
                <w:rFonts w:ascii="標楷體" w:eastAsia="標楷體" w:hAnsi="標楷體" w:cs="新細明體"/>
                <w:kern w:val="0"/>
                <w:szCs w:val="24"/>
              </w:rPr>
              <w:t>心另訂之。</w:t>
            </w: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color w:val="000000"/>
                <w:szCs w:val="24"/>
              </w:rPr>
            </w:pPr>
          </w:p>
        </w:tc>
        <w:tc>
          <w:tcPr>
            <w:tcW w:w="3213" w:type="dxa"/>
            <w:shd w:val="clear" w:color="auto" w:fill="auto"/>
          </w:tcPr>
          <w:p w:rsidR="00364954" w:rsidRPr="00987763" w:rsidRDefault="00364954" w:rsidP="00987763">
            <w:pPr>
              <w:pStyle w:val="HTML"/>
              <w:snapToGrid w:val="0"/>
              <w:spacing w:line="300" w:lineRule="auto"/>
              <w:jc w:val="both"/>
              <w:rPr>
                <w:rFonts w:ascii="標楷體" w:eastAsia="標楷體" w:hAnsi="標楷體"/>
                <w:color w:val="000000"/>
              </w:rPr>
            </w:pPr>
            <w:r w:rsidRPr="00987763">
              <w:rPr>
                <w:rFonts w:ascii="標楷體" w:eastAsia="標楷體" w:hAnsi="標楷體"/>
                <w:color w:val="000000"/>
              </w:rPr>
              <w:t>第</w:t>
            </w:r>
            <w:r w:rsidRPr="00987763">
              <w:rPr>
                <w:rFonts w:ascii="標楷體" w:eastAsia="標楷體" w:hAnsi="標楷體" w:hint="eastAsia"/>
                <w:color w:val="000000"/>
              </w:rPr>
              <w:t>八十六條之一</w:t>
            </w: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cs="細明體"/>
                <w:kern w:val="0"/>
                <w:szCs w:val="24"/>
              </w:rPr>
            </w:pPr>
            <w:r w:rsidRPr="00987763">
              <w:rPr>
                <w:rFonts w:ascii="標楷體" w:eastAsia="標楷體" w:hAnsi="標楷體" w:cs="細明體" w:hint="eastAsia"/>
                <w:kern w:val="0"/>
                <w:szCs w:val="24"/>
              </w:rPr>
              <w:t>(第一至第三項未修正，略。)</w:t>
            </w: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cs="細明體"/>
                <w:kern w:val="0"/>
                <w:szCs w:val="24"/>
              </w:rPr>
            </w:pP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80"/>
              <w:jc w:val="both"/>
              <w:rPr>
                <w:rFonts w:ascii="標楷體" w:eastAsia="標楷體" w:hAnsi="標楷體" w:cs="細明體"/>
                <w:kern w:val="0"/>
                <w:szCs w:val="24"/>
              </w:rPr>
            </w:pPr>
            <w:r w:rsidRPr="00987763">
              <w:rPr>
                <w:rFonts w:ascii="標楷體" w:eastAsia="標楷體" w:hAnsi="標楷體" w:cs="細明體"/>
                <w:kern w:val="0"/>
                <w:szCs w:val="24"/>
              </w:rPr>
              <w:t>證券金融事業取得融券差額所為之標借、議借及標購，依本中心「有價證券借貸辦法」規定辦理。</w:t>
            </w: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cs="細明體"/>
                <w:kern w:val="0"/>
                <w:szCs w:val="24"/>
              </w:rPr>
            </w:pP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cs="細明體"/>
                <w:kern w:val="0"/>
                <w:szCs w:val="24"/>
              </w:rPr>
            </w:pP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cs="細明體"/>
                <w:kern w:val="0"/>
                <w:szCs w:val="24"/>
              </w:rPr>
            </w:pPr>
          </w:p>
          <w:p w:rsidR="00364954" w:rsidRPr="00987763" w:rsidRDefault="00364954" w:rsidP="00987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80"/>
              <w:jc w:val="both"/>
              <w:rPr>
                <w:rFonts w:ascii="標楷體" w:eastAsia="標楷體" w:hAnsi="標楷體"/>
                <w:color w:val="000000"/>
                <w:szCs w:val="24"/>
              </w:rPr>
            </w:pPr>
            <w:r w:rsidRPr="00987763">
              <w:rPr>
                <w:rFonts w:ascii="標楷體" w:eastAsia="標楷體" w:hAnsi="標楷體" w:cs="細明體"/>
                <w:kern w:val="0"/>
                <w:szCs w:val="24"/>
              </w:rPr>
              <w:t>本中心「有價證券借貸辦法」及「櫃檯買賣證券支付憑單」之格式由本中</w:t>
            </w:r>
            <w:r w:rsidRPr="00987763">
              <w:rPr>
                <w:rFonts w:ascii="標楷體" w:eastAsia="標楷體" w:hAnsi="標楷體" w:cs="新細明體"/>
                <w:kern w:val="0"/>
                <w:szCs w:val="24"/>
              </w:rPr>
              <w:t>心另訂之。</w:t>
            </w:r>
          </w:p>
        </w:tc>
        <w:tc>
          <w:tcPr>
            <w:tcW w:w="3214" w:type="dxa"/>
            <w:shd w:val="clear" w:color="auto" w:fill="auto"/>
          </w:tcPr>
          <w:p w:rsidR="00364954" w:rsidRPr="00987763" w:rsidRDefault="00364954" w:rsidP="00987763">
            <w:pPr>
              <w:snapToGrid w:val="0"/>
              <w:spacing w:line="300" w:lineRule="auto"/>
              <w:jc w:val="both"/>
              <w:rPr>
                <w:rFonts w:ascii="標楷體" w:eastAsia="標楷體" w:hAnsi="標楷體"/>
                <w:color w:val="000000"/>
                <w:szCs w:val="24"/>
              </w:rPr>
            </w:pPr>
            <w:r w:rsidRPr="00987763">
              <w:rPr>
                <w:rFonts w:ascii="標楷體" w:eastAsia="標楷體" w:hAnsi="標楷體" w:cs="細明體" w:hint="eastAsia"/>
                <w:color w:val="000000"/>
                <w:szCs w:val="24"/>
              </w:rPr>
              <w:t>配合證券商接受客戶委託有價證券當日沖銷交易先賣出後買進之未沖抵部位，得委託證券金融事業進行標借、議借取得有價證券作為交割之安排，爰修正</w:t>
            </w:r>
            <w:r w:rsidRPr="00987763">
              <w:rPr>
                <w:rFonts w:ascii="標楷體" w:eastAsia="標楷體" w:hAnsi="標楷體"/>
                <w:color w:val="000000"/>
                <w:szCs w:val="24"/>
              </w:rPr>
              <w:t>第</w:t>
            </w:r>
            <w:r w:rsidRPr="00987763">
              <w:rPr>
                <w:rFonts w:ascii="標楷體" w:eastAsia="標楷體" w:hAnsi="標楷體" w:hint="eastAsia"/>
                <w:color w:val="000000"/>
                <w:szCs w:val="24"/>
              </w:rPr>
              <w:t>四</w:t>
            </w:r>
            <w:r w:rsidRPr="00987763">
              <w:rPr>
                <w:rFonts w:ascii="標楷體" w:eastAsia="標楷體" w:hAnsi="標楷體"/>
                <w:color w:val="000000"/>
                <w:szCs w:val="24"/>
              </w:rPr>
              <w:t>項規定。</w:t>
            </w:r>
          </w:p>
        </w:tc>
      </w:tr>
    </w:tbl>
    <w:p w:rsidR="00615836" w:rsidRDefault="00615836">
      <w:bookmarkStart w:id="0" w:name="_GoBack"/>
      <w:bookmarkEnd w:id="0"/>
    </w:p>
    <w:sectPr w:rsidR="00615836" w:rsidSect="00697ACD">
      <w:footerReference w:type="default" r:id="rId8"/>
      <w:pgSz w:w="11906" w:h="16838" w:code="9"/>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0BE" w:rsidRDefault="004C40BE">
      <w:r>
        <w:separator/>
      </w:r>
    </w:p>
  </w:endnote>
  <w:endnote w:type="continuationSeparator" w:id="0">
    <w:p w:rsidR="004C40BE" w:rsidRDefault="004C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BE" w:rsidRDefault="004C40BE">
    <w:pPr>
      <w:pStyle w:val="a4"/>
      <w:jc w:val="center"/>
    </w:pPr>
    <w:r>
      <w:fldChar w:fldCharType="begin"/>
    </w:r>
    <w:r>
      <w:instrText xml:space="preserve"> PAGE   \* MERGEFORMAT </w:instrText>
    </w:r>
    <w:r>
      <w:fldChar w:fldCharType="separate"/>
    </w:r>
    <w:r w:rsidR="00C345EA" w:rsidRPr="00C345EA">
      <w:rPr>
        <w:noProof/>
        <w:lang w:val="zh-TW"/>
      </w:rPr>
      <w:t>1</w:t>
    </w:r>
    <w:r>
      <w:rPr>
        <w:noProof/>
        <w:lang w:val="zh-TW"/>
      </w:rPr>
      <w:fldChar w:fldCharType="end"/>
    </w:r>
  </w:p>
  <w:p w:rsidR="004C40BE" w:rsidRDefault="004C40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0BE" w:rsidRDefault="004C40BE">
      <w:r>
        <w:separator/>
      </w:r>
    </w:p>
  </w:footnote>
  <w:footnote w:type="continuationSeparator" w:id="0">
    <w:p w:rsidR="004C40BE" w:rsidRDefault="004C4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94AC5"/>
    <w:multiLevelType w:val="hybridMultilevel"/>
    <w:tmpl w:val="DB526C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4C0FC7"/>
    <w:multiLevelType w:val="hybridMultilevel"/>
    <w:tmpl w:val="20886A56"/>
    <w:lvl w:ilvl="0" w:tplc="E2EC11BA">
      <w:start w:val="1"/>
      <w:numFmt w:val="decimal"/>
      <w:lvlText w:val="(%1)"/>
      <w:lvlJc w:val="right"/>
      <w:pPr>
        <w:ind w:left="1048" w:hanging="480"/>
      </w:pPr>
      <w:rPr>
        <w:rFonts w:ascii="Times New Roman" w:hAnsi="Times New Roman" w:cs="Times New Roman" w:hint="default"/>
        <w:color w:val="00000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nsid w:val="3A034B93"/>
    <w:multiLevelType w:val="hybridMultilevel"/>
    <w:tmpl w:val="A858E9BA"/>
    <w:lvl w:ilvl="0" w:tplc="1B6C51AE">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4CA3E3F"/>
    <w:multiLevelType w:val="hybridMultilevel"/>
    <w:tmpl w:val="4DAC41D2"/>
    <w:lvl w:ilvl="0" w:tplc="04090015">
      <w:start w:val="1"/>
      <w:numFmt w:val="taiwaneseCountingThousand"/>
      <w:lvlText w:val="%1、"/>
      <w:lvlJc w:val="left"/>
      <w:pPr>
        <w:ind w:left="1018" w:hanging="480"/>
      </w:p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4">
    <w:nsid w:val="762C361D"/>
    <w:multiLevelType w:val="hybridMultilevel"/>
    <w:tmpl w:val="15887F82"/>
    <w:lvl w:ilvl="0" w:tplc="115A2E04">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54"/>
    <w:rsid w:val="000C1F68"/>
    <w:rsid w:val="00111C06"/>
    <w:rsid w:val="001524DE"/>
    <w:rsid w:val="00194109"/>
    <w:rsid w:val="002569D4"/>
    <w:rsid w:val="00364954"/>
    <w:rsid w:val="004C40BE"/>
    <w:rsid w:val="005D5959"/>
    <w:rsid w:val="00615836"/>
    <w:rsid w:val="00697ACD"/>
    <w:rsid w:val="00833B35"/>
    <w:rsid w:val="00836EB5"/>
    <w:rsid w:val="008F1519"/>
    <w:rsid w:val="00987763"/>
    <w:rsid w:val="00993511"/>
    <w:rsid w:val="009F2F4C"/>
    <w:rsid w:val="00AB7403"/>
    <w:rsid w:val="00B12DC1"/>
    <w:rsid w:val="00B80A7F"/>
    <w:rsid w:val="00B867B3"/>
    <w:rsid w:val="00C26138"/>
    <w:rsid w:val="00C345EA"/>
    <w:rsid w:val="00C4244A"/>
    <w:rsid w:val="00CE35F1"/>
    <w:rsid w:val="00D117D9"/>
    <w:rsid w:val="00E45C8A"/>
    <w:rsid w:val="00ED26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95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4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364954"/>
    <w:pPr>
      <w:tabs>
        <w:tab w:val="center" w:pos="4153"/>
        <w:tab w:val="right" w:pos="8306"/>
      </w:tabs>
      <w:snapToGrid w:val="0"/>
    </w:pPr>
    <w:rPr>
      <w:sz w:val="20"/>
      <w:szCs w:val="20"/>
    </w:rPr>
  </w:style>
  <w:style w:type="character" w:customStyle="1" w:styleId="a5">
    <w:name w:val="頁尾 字元"/>
    <w:link w:val="a4"/>
    <w:uiPriority w:val="99"/>
    <w:rsid w:val="00364954"/>
    <w:rPr>
      <w:sz w:val="20"/>
      <w:szCs w:val="20"/>
    </w:rPr>
  </w:style>
  <w:style w:type="paragraph" w:styleId="HTML">
    <w:name w:val="HTML Preformatted"/>
    <w:basedOn w:val="a"/>
    <w:link w:val="HTML0"/>
    <w:uiPriority w:val="99"/>
    <w:unhideWhenUsed/>
    <w:rsid w:val="003649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link w:val="HTML"/>
    <w:uiPriority w:val="99"/>
    <w:rsid w:val="00364954"/>
    <w:rPr>
      <w:rFonts w:ascii="細明體" w:eastAsia="細明體" w:hAnsi="細明體" w:cs="細明體"/>
      <w:color w:val="333333"/>
      <w:kern w:val="0"/>
      <w:szCs w:val="24"/>
    </w:rPr>
  </w:style>
  <w:style w:type="paragraph" w:styleId="a6">
    <w:name w:val="Plain Text"/>
    <w:basedOn w:val="a"/>
    <w:link w:val="a7"/>
    <w:uiPriority w:val="99"/>
    <w:unhideWhenUsed/>
    <w:rsid w:val="00364954"/>
    <w:rPr>
      <w:rFonts w:hAnsi="Courier New" w:cs="Courier New"/>
      <w:szCs w:val="24"/>
    </w:rPr>
  </w:style>
  <w:style w:type="character" w:customStyle="1" w:styleId="a7">
    <w:name w:val="純文字 字元"/>
    <w:link w:val="a6"/>
    <w:uiPriority w:val="99"/>
    <w:rsid w:val="00364954"/>
    <w:rPr>
      <w:rFonts w:ascii="Calibri" w:eastAsia="新細明體" w:hAnsi="Courier New" w:cs="Courier New"/>
      <w:szCs w:val="24"/>
    </w:rPr>
  </w:style>
  <w:style w:type="paragraph" w:styleId="a8">
    <w:name w:val="List Paragraph"/>
    <w:basedOn w:val="a"/>
    <w:uiPriority w:val="34"/>
    <w:qFormat/>
    <w:rsid w:val="0061583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95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4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364954"/>
    <w:pPr>
      <w:tabs>
        <w:tab w:val="center" w:pos="4153"/>
        <w:tab w:val="right" w:pos="8306"/>
      </w:tabs>
      <w:snapToGrid w:val="0"/>
    </w:pPr>
    <w:rPr>
      <w:sz w:val="20"/>
      <w:szCs w:val="20"/>
    </w:rPr>
  </w:style>
  <w:style w:type="character" w:customStyle="1" w:styleId="a5">
    <w:name w:val="頁尾 字元"/>
    <w:link w:val="a4"/>
    <w:uiPriority w:val="99"/>
    <w:rsid w:val="00364954"/>
    <w:rPr>
      <w:sz w:val="20"/>
      <w:szCs w:val="20"/>
    </w:rPr>
  </w:style>
  <w:style w:type="paragraph" w:styleId="HTML">
    <w:name w:val="HTML Preformatted"/>
    <w:basedOn w:val="a"/>
    <w:link w:val="HTML0"/>
    <w:uiPriority w:val="99"/>
    <w:unhideWhenUsed/>
    <w:rsid w:val="003649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link w:val="HTML"/>
    <w:uiPriority w:val="99"/>
    <w:rsid w:val="00364954"/>
    <w:rPr>
      <w:rFonts w:ascii="細明體" w:eastAsia="細明體" w:hAnsi="細明體" w:cs="細明體"/>
      <w:color w:val="333333"/>
      <w:kern w:val="0"/>
      <w:szCs w:val="24"/>
    </w:rPr>
  </w:style>
  <w:style w:type="paragraph" w:styleId="a6">
    <w:name w:val="Plain Text"/>
    <w:basedOn w:val="a"/>
    <w:link w:val="a7"/>
    <w:uiPriority w:val="99"/>
    <w:unhideWhenUsed/>
    <w:rsid w:val="00364954"/>
    <w:rPr>
      <w:rFonts w:hAnsi="Courier New" w:cs="Courier New"/>
      <w:szCs w:val="24"/>
    </w:rPr>
  </w:style>
  <w:style w:type="character" w:customStyle="1" w:styleId="a7">
    <w:name w:val="純文字 字元"/>
    <w:link w:val="a6"/>
    <w:uiPriority w:val="99"/>
    <w:rsid w:val="00364954"/>
    <w:rPr>
      <w:rFonts w:ascii="Calibri" w:eastAsia="新細明體" w:hAnsi="Courier New" w:cs="Courier New"/>
      <w:szCs w:val="24"/>
    </w:rPr>
  </w:style>
  <w:style w:type="paragraph" w:styleId="a8">
    <w:name w:val="List Paragraph"/>
    <w:basedOn w:val="a"/>
    <w:uiPriority w:val="34"/>
    <w:qFormat/>
    <w:rsid w:val="0061583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375</Words>
  <Characters>2144</Characters>
  <Application>Microsoft Office Word</Application>
  <DocSecurity>0</DocSecurity>
  <Lines>17</Lines>
  <Paragraphs>5</Paragraphs>
  <ScaleCrop>false</ScaleCrop>
  <Company>Hewlett-Packard Company</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張翠蘭</dc:creator>
  <cp:lastModifiedBy>陳文怡</cp:lastModifiedBy>
  <cp:revision>2</cp:revision>
  <dcterms:created xsi:type="dcterms:W3CDTF">2014-06-25T07:31:00Z</dcterms:created>
  <dcterms:modified xsi:type="dcterms:W3CDTF">2014-06-25T07:31:00Z</dcterms:modified>
</cp:coreProperties>
</file>