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F93" w:rsidRPr="000C695C" w:rsidRDefault="00C0398F" w:rsidP="00EF303C">
      <w:pPr>
        <w:jc w:val="center"/>
        <w:rPr>
          <w:rFonts w:ascii="標楷體" w:eastAsia="標楷體" w:hAnsi="標楷體"/>
          <w:sz w:val="32"/>
          <w:szCs w:val="24"/>
        </w:rPr>
      </w:pPr>
      <w:r w:rsidRPr="000C695C">
        <w:rPr>
          <w:rFonts w:ascii="標楷體" w:eastAsia="標楷體" w:hAnsi="標楷體" w:hint="eastAsia"/>
          <w:sz w:val="32"/>
          <w:szCs w:val="24"/>
        </w:rPr>
        <w:t>本中心受託範圍之</w:t>
      </w:r>
      <w:r w:rsidR="00EF303C" w:rsidRPr="000C695C">
        <w:rPr>
          <w:rFonts w:ascii="標楷體" w:eastAsia="標楷體" w:hAnsi="標楷體" w:hint="eastAsia"/>
          <w:sz w:val="32"/>
          <w:szCs w:val="24"/>
        </w:rPr>
        <w:t>申報書中「其他必要之書件」說明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10"/>
        <w:gridCol w:w="4320"/>
      </w:tblGrid>
      <w:tr w:rsidR="001C4C66" w:rsidRPr="00C0398F" w:rsidTr="00E67BA0">
        <w:tc>
          <w:tcPr>
            <w:tcW w:w="4010" w:type="dxa"/>
          </w:tcPr>
          <w:p w:rsidR="001C4C66" w:rsidRPr="00C0398F" w:rsidRDefault="001C4C66" w:rsidP="001C4C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申報書類型</w:t>
            </w:r>
          </w:p>
        </w:tc>
        <w:tc>
          <w:tcPr>
            <w:tcW w:w="4320" w:type="dxa"/>
          </w:tcPr>
          <w:p w:rsidR="001C4C66" w:rsidRPr="00C0398F" w:rsidRDefault="00C0398F" w:rsidP="001C4C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應檢送之「其他必要之書件」</w:t>
            </w:r>
          </w:p>
        </w:tc>
      </w:tr>
      <w:tr w:rsidR="001C4C66" w:rsidRPr="00C0398F" w:rsidTr="00E67BA0">
        <w:trPr>
          <w:trHeight w:val="1193"/>
        </w:trPr>
        <w:tc>
          <w:tcPr>
            <w:tcW w:w="4010" w:type="dxa"/>
            <w:vAlign w:val="center"/>
          </w:tcPr>
          <w:p w:rsidR="001C4C66" w:rsidRPr="00C0398F" w:rsidRDefault="001C4C66" w:rsidP="00C0398F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首次辦理股票公開發行申報書</w:t>
            </w:r>
          </w:p>
        </w:tc>
        <w:tc>
          <w:tcPr>
            <w:tcW w:w="4320" w:type="dxa"/>
            <w:vMerge w:val="restart"/>
          </w:tcPr>
          <w:p w:rsidR="00FF4834" w:rsidRPr="00C0398F" w:rsidRDefault="00FF4834" w:rsidP="00FF4834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發行人有</w:t>
            </w:r>
            <w:r w:rsidRPr="00C0398F">
              <w:rPr>
                <w:rFonts w:ascii="標楷體" w:eastAsia="標楷體" w:hAnsi="標楷體" w:hint="eastAsia"/>
                <w:b/>
                <w:bCs/>
                <w:szCs w:val="24"/>
              </w:rPr>
              <w:t>連續二年虧損之</w:t>
            </w:r>
            <w:r w:rsidRPr="00C0398F">
              <w:rPr>
                <w:rFonts w:ascii="標楷體" w:eastAsia="標楷體" w:hAnsi="標楷體" w:hint="eastAsia"/>
                <w:szCs w:val="24"/>
              </w:rPr>
              <w:t>情形，應提供經董事會通過之健全營運計畫書。</w:t>
            </w:r>
          </w:p>
          <w:p w:rsidR="00FF4834" w:rsidRPr="008C2597" w:rsidRDefault="00FF4834" w:rsidP="00FF4834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8C2597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依「</w:t>
            </w:r>
            <w:hyperlink r:id="rId7" w:history="1">
              <w:r w:rsidRPr="008C2597">
                <w:rPr>
                  <w:rFonts w:ascii="標楷體" w:eastAsia="標楷體" w:hAnsi="標楷體"/>
                  <w:strike/>
                  <w:color w:val="FF0000"/>
                  <w:szCs w:val="24"/>
                </w:rPr>
                <w:t>公司募集發行有</w:t>
              </w:r>
              <w:bookmarkStart w:id="0" w:name="_GoBack"/>
              <w:bookmarkEnd w:id="0"/>
              <w:r w:rsidRPr="008C2597">
                <w:rPr>
                  <w:rFonts w:ascii="標楷體" w:eastAsia="標楷體" w:hAnsi="標楷體"/>
                  <w:strike/>
                  <w:color w:val="FF0000"/>
                  <w:szCs w:val="24"/>
                </w:rPr>
                <w:t>價證券公開說明書應行記載事項準則</w:t>
              </w:r>
              <w:r w:rsidRPr="008C2597">
                <w:rPr>
                  <w:rFonts w:ascii="標楷體" w:eastAsia="標楷體" w:hAnsi="標楷體" w:hint="eastAsia"/>
                  <w:strike/>
                  <w:color w:val="FF0000"/>
                  <w:szCs w:val="24"/>
                </w:rPr>
                <w:t>」</w:t>
              </w:r>
              <w:r w:rsidRPr="008C2597">
                <w:rPr>
                  <w:rFonts w:ascii="標楷體" w:eastAsia="標楷體" w:hAnsi="標楷體"/>
                  <w:strike/>
                  <w:color w:val="FF0000"/>
                  <w:szCs w:val="24"/>
                </w:rPr>
                <w:t xml:space="preserve"> </w:t>
              </w:r>
            </w:hyperlink>
          </w:p>
          <w:p w:rsidR="00E67BA0" w:rsidRPr="003705AF" w:rsidRDefault="00FF4834" w:rsidP="003705AF">
            <w:pPr>
              <w:pStyle w:val="a3"/>
              <w:ind w:leftChars="0" w:left="420"/>
              <w:rPr>
                <w:rFonts w:ascii="標楷體" w:eastAsia="標楷體" w:hAnsi="標楷體"/>
                <w:strike/>
                <w:szCs w:val="24"/>
              </w:rPr>
            </w:pPr>
            <w:r w:rsidRPr="008C2597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第34條規定編製之簡式公開說明書(附表六十五之</w:t>
            </w:r>
            <w:proofErr w:type="gramStart"/>
            <w:r w:rsidRPr="008C2597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一</w:t>
            </w:r>
            <w:proofErr w:type="gramEnd"/>
            <w:r w:rsidRPr="008C2597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)。</w:t>
            </w:r>
          </w:p>
        </w:tc>
      </w:tr>
      <w:tr w:rsidR="001C4C66" w:rsidRPr="00C0398F" w:rsidTr="00E67BA0">
        <w:trPr>
          <w:trHeight w:val="1193"/>
        </w:trPr>
        <w:tc>
          <w:tcPr>
            <w:tcW w:w="4010" w:type="dxa"/>
            <w:vAlign w:val="center"/>
          </w:tcPr>
          <w:p w:rsidR="001C4C66" w:rsidRPr="00C0398F" w:rsidRDefault="001C4C66" w:rsidP="00C0398F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外國發行人首次辦理股票公開發行申報書</w:t>
            </w:r>
          </w:p>
        </w:tc>
        <w:tc>
          <w:tcPr>
            <w:tcW w:w="4320" w:type="dxa"/>
            <w:vMerge/>
          </w:tcPr>
          <w:p w:rsidR="001C4C66" w:rsidRPr="00C0398F" w:rsidRDefault="001C4C66" w:rsidP="001C4C6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1963BE" w:rsidRPr="00C0398F" w:rsidTr="00E67BA0">
        <w:trPr>
          <w:trHeight w:val="1194"/>
        </w:trPr>
        <w:tc>
          <w:tcPr>
            <w:tcW w:w="4010" w:type="dxa"/>
            <w:vAlign w:val="center"/>
          </w:tcPr>
          <w:p w:rsidR="001963BE" w:rsidRPr="00C0398F" w:rsidRDefault="00C86BB2" w:rsidP="00C0398F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首次辦理公開發行</w:t>
            </w:r>
            <w:proofErr w:type="gramStart"/>
            <w:r w:rsidRPr="00C0398F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C0398F">
              <w:rPr>
                <w:rFonts w:ascii="標楷體" w:eastAsia="標楷體" w:hAnsi="標楷體" w:hint="eastAsia"/>
                <w:szCs w:val="24"/>
              </w:rPr>
              <w:t>同申報增資發行新股申報書</w:t>
            </w:r>
          </w:p>
        </w:tc>
        <w:tc>
          <w:tcPr>
            <w:tcW w:w="4320" w:type="dxa"/>
          </w:tcPr>
          <w:p w:rsidR="00C86BB2" w:rsidRPr="00C0398F" w:rsidRDefault="00C86BB2" w:rsidP="003705AF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發行人有</w:t>
            </w:r>
            <w:r w:rsidRPr="00C0398F">
              <w:rPr>
                <w:rFonts w:ascii="標楷體" w:eastAsia="標楷體" w:hAnsi="標楷體" w:hint="eastAsia"/>
                <w:b/>
                <w:bCs/>
                <w:szCs w:val="24"/>
              </w:rPr>
              <w:t>連續二年虧損之</w:t>
            </w:r>
            <w:r w:rsidRPr="00C0398F">
              <w:rPr>
                <w:rFonts w:ascii="標楷體" w:eastAsia="標楷體" w:hAnsi="標楷體" w:hint="eastAsia"/>
                <w:szCs w:val="24"/>
              </w:rPr>
              <w:t>情形，應提供經董事會通過之健全營運計畫書。</w:t>
            </w:r>
          </w:p>
          <w:p w:rsidR="00C86BB2" w:rsidRDefault="00C86BB2" w:rsidP="003705AF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依「</w:t>
            </w:r>
            <w:hyperlink r:id="rId8" w:history="1">
              <w:r w:rsidRPr="000F6EF7">
                <w:rPr>
                  <w:rFonts w:ascii="標楷體" w:eastAsia="標楷體" w:hAnsi="標楷體"/>
                  <w:szCs w:val="24"/>
                </w:rPr>
                <w:t>公司募集發行有價證券公開說明書應行記載事項準則</w:t>
              </w:r>
              <w:r>
                <w:rPr>
                  <w:rFonts w:ascii="標楷體" w:eastAsia="標楷體" w:hAnsi="標楷體" w:hint="eastAsia"/>
                  <w:szCs w:val="24"/>
                </w:rPr>
                <w:t>」</w:t>
              </w:r>
              <w:r w:rsidRPr="000F6EF7">
                <w:rPr>
                  <w:rFonts w:ascii="標楷體" w:eastAsia="標楷體" w:hAnsi="標楷體"/>
                  <w:szCs w:val="24"/>
                </w:rPr>
                <w:t xml:space="preserve"> </w:t>
              </w:r>
            </w:hyperlink>
          </w:p>
          <w:p w:rsidR="00C86BB2" w:rsidRDefault="00C86BB2" w:rsidP="00C86BB2">
            <w:pPr>
              <w:pStyle w:val="a3"/>
              <w:ind w:leftChars="0" w:left="420"/>
              <w:rPr>
                <w:rFonts w:ascii="標楷體" w:eastAsia="標楷體" w:hAnsi="標楷體"/>
                <w:szCs w:val="24"/>
              </w:rPr>
            </w:pPr>
            <w:r w:rsidRPr="000F6EF7">
              <w:rPr>
                <w:rFonts w:ascii="標楷體" w:eastAsia="標楷體" w:hAnsi="標楷體" w:hint="eastAsia"/>
                <w:szCs w:val="24"/>
              </w:rPr>
              <w:t>第34條規定編製之簡式公開說明書</w:t>
            </w:r>
            <w:r>
              <w:rPr>
                <w:rFonts w:ascii="標楷體" w:eastAsia="標楷體" w:hAnsi="標楷體" w:hint="eastAsia"/>
                <w:szCs w:val="24"/>
              </w:rPr>
              <w:t>(附表六十五之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F6EF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963BE" w:rsidRPr="00C86BB2" w:rsidRDefault="001963BE" w:rsidP="001C4C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C4C66" w:rsidRPr="00C0398F" w:rsidTr="00E67BA0">
        <w:tc>
          <w:tcPr>
            <w:tcW w:w="4010" w:type="dxa"/>
          </w:tcPr>
          <w:p w:rsidR="001C4C66" w:rsidRPr="00C0398F" w:rsidRDefault="001C4C66" w:rsidP="001C4C66">
            <w:pPr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發行新股申報書(初次上櫃前以現金增資發行新股並</w:t>
            </w:r>
            <w:proofErr w:type="gramStart"/>
            <w:r w:rsidRPr="00C0398F">
              <w:rPr>
                <w:rFonts w:ascii="標楷體" w:eastAsia="標楷體" w:hAnsi="標楷體" w:hint="eastAsia"/>
                <w:szCs w:val="24"/>
              </w:rPr>
              <w:t>提撥</w:t>
            </w:r>
            <w:proofErr w:type="gramEnd"/>
            <w:r w:rsidRPr="00C0398F">
              <w:rPr>
                <w:rFonts w:ascii="標楷體" w:eastAsia="標楷體" w:hAnsi="標楷體" w:hint="eastAsia"/>
                <w:szCs w:val="24"/>
              </w:rPr>
              <w:t>一定比例公開銷售案件適用)</w:t>
            </w:r>
          </w:p>
        </w:tc>
        <w:tc>
          <w:tcPr>
            <w:tcW w:w="4320" w:type="dxa"/>
            <w:vMerge w:val="restart"/>
            <w:vAlign w:val="center"/>
          </w:tcPr>
          <w:p w:rsidR="00FA13FD" w:rsidRPr="00A415C7" w:rsidRDefault="00FA13FD" w:rsidP="00FA13FD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415C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依金管會105年2月25日金管證發字第</w:t>
            </w:r>
            <w:r w:rsidR="001E4403" w:rsidRPr="00A415C7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10500062321</w:t>
            </w:r>
            <w:r w:rsidRPr="00A415C7">
              <w:rPr>
                <w:rFonts w:ascii="標楷體" w:eastAsia="標楷體" w:hAnsi="標楷體" w:hint="eastAsia"/>
                <w:b/>
                <w:color w:val="FF0000"/>
                <w:szCs w:val="24"/>
              </w:rPr>
              <w:t>號函，承銷商自105年2月25日起於辦理輔導募資案件並採詢價圈購辦理承銷者，應出具「承銷商應對出具不實聲明事項之圈購人收取違約金」之承諾書，並列為申報案件之必要書件</w:t>
            </w:r>
            <w:r w:rsidR="001E4403" w:rsidRPr="00A415C7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，且應將</w:t>
            </w:r>
            <w:r w:rsidR="00A415C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前揭</w:t>
            </w:r>
            <w:r w:rsidR="001E4403" w:rsidRPr="00A415C7">
              <w:rPr>
                <w:rFonts w:ascii="標楷體" w:eastAsia="標楷體" w:hAnsi="標楷體" w:hint="eastAsia"/>
                <w:b/>
                <w:color w:val="FF0000"/>
                <w:szCs w:val="24"/>
              </w:rPr>
              <w:t>承諾書揭露</w:t>
            </w:r>
            <w:r w:rsidR="00A415C7">
              <w:rPr>
                <w:rFonts w:ascii="標楷體" w:eastAsia="標楷體" w:hAnsi="標楷體" w:hint="eastAsia"/>
                <w:b/>
                <w:color w:val="FF0000"/>
                <w:szCs w:val="24"/>
              </w:rPr>
              <w:t>於</w:t>
            </w:r>
            <w:r w:rsidR="001E4403" w:rsidRPr="00A415C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公開說明書中</w:t>
            </w:r>
            <w:r w:rsidRPr="00A415C7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。</w:t>
            </w:r>
          </w:p>
          <w:p w:rsidR="000F6EF7" w:rsidRPr="00C0398F" w:rsidRDefault="000F6EF7" w:rsidP="000F6EF7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發行人有</w:t>
            </w:r>
            <w:r w:rsidRPr="00C0398F">
              <w:rPr>
                <w:rFonts w:ascii="標楷體" w:eastAsia="標楷體" w:hAnsi="標楷體" w:hint="eastAsia"/>
                <w:b/>
                <w:bCs/>
                <w:szCs w:val="24"/>
              </w:rPr>
              <w:t>連續二年虧損之</w:t>
            </w:r>
            <w:r w:rsidRPr="00C0398F">
              <w:rPr>
                <w:rFonts w:ascii="標楷體" w:eastAsia="標楷體" w:hAnsi="標楷體" w:hint="eastAsia"/>
                <w:szCs w:val="24"/>
              </w:rPr>
              <w:t>情形，應提供經董事會通過之健全營運計畫書。</w:t>
            </w:r>
          </w:p>
          <w:p w:rsidR="0018383D" w:rsidRDefault="000F6EF7" w:rsidP="000F6EF7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依「</w:t>
            </w:r>
            <w:hyperlink r:id="rId9" w:history="1">
              <w:r w:rsidRPr="000F6EF7">
                <w:rPr>
                  <w:rFonts w:ascii="標楷體" w:eastAsia="標楷體" w:hAnsi="標楷體"/>
                  <w:szCs w:val="24"/>
                </w:rPr>
                <w:t>公司募集發行有價證券公開說明書應行記載事項準則</w:t>
              </w:r>
              <w:r>
                <w:rPr>
                  <w:rFonts w:ascii="標楷體" w:eastAsia="標楷體" w:hAnsi="標楷體" w:hint="eastAsia"/>
                  <w:szCs w:val="24"/>
                </w:rPr>
                <w:t>」</w:t>
              </w:r>
              <w:r w:rsidRPr="000F6EF7">
                <w:rPr>
                  <w:rFonts w:ascii="標楷體" w:eastAsia="標楷體" w:hAnsi="標楷體"/>
                  <w:szCs w:val="24"/>
                </w:rPr>
                <w:t xml:space="preserve"> </w:t>
              </w:r>
            </w:hyperlink>
          </w:p>
          <w:p w:rsidR="001C4C66" w:rsidRPr="000F6EF7" w:rsidRDefault="000F6EF7" w:rsidP="0018383D">
            <w:pPr>
              <w:pStyle w:val="a3"/>
              <w:ind w:leftChars="0" w:left="420"/>
              <w:rPr>
                <w:rFonts w:ascii="標楷體" w:eastAsia="標楷體" w:hAnsi="標楷體"/>
                <w:szCs w:val="24"/>
              </w:rPr>
            </w:pPr>
            <w:r w:rsidRPr="000F6EF7">
              <w:rPr>
                <w:rFonts w:ascii="標楷體" w:eastAsia="標楷體" w:hAnsi="標楷體" w:hint="eastAsia"/>
                <w:szCs w:val="24"/>
              </w:rPr>
              <w:t>第34條規定編製之簡式公開說明書</w:t>
            </w:r>
            <w:r w:rsidR="00D2149B">
              <w:rPr>
                <w:rFonts w:ascii="標楷體" w:eastAsia="標楷體" w:hAnsi="標楷體" w:hint="eastAsia"/>
                <w:szCs w:val="24"/>
              </w:rPr>
              <w:t>(附表六十五之</w:t>
            </w:r>
            <w:proofErr w:type="gramStart"/>
            <w:r w:rsidR="00D2149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D2149B">
              <w:rPr>
                <w:rFonts w:ascii="標楷體" w:eastAsia="標楷體" w:hAnsi="標楷體" w:hint="eastAsia"/>
                <w:szCs w:val="24"/>
              </w:rPr>
              <w:t>)</w:t>
            </w:r>
            <w:r w:rsidRPr="000F6EF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C4C66" w:rsidRPr="00C0398F" w:rsidTr="00E67BA0">
        <w:tc>
          <w:tcPr>
            <w:tcW w:w="4010" w:type="dxa"/>
          </w:tcPr>
          <w:p w:rsidR="001C4C66" w:rsidRPr="00C0398F" w:rsidRDefault="001C4C66" w:rsidP="001C4C66">
            <w:pPr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外國發行人於國內募集與發行股票申報書(初次上櫃前以現金增資發行新股案件者適用)</w:t>
            </w:r>
          </w:p>
        </w:tc>
        <w:tc>
          <w:tcPr>
            <w:tcW w:w="4320" w:type="dxa"/>
            <w:vMerge/>
          </w:tcPr>
          <w:p w:rsidR="001C4C66" w:rsidRPr="00C0398F" w:rsidRDefault="001C4C66" w:rsidP="001C4C6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D64BD" w:rsidRDefault="008C3B49" w:rsidP="004D64BD">
      <w:pPr>
        <w:ind w:leftChars="-140" w:hangingChars="140" w:hanging="336"/>
        <w:rPr>
          <w:rFonts w:ascii="標楷體" w:eastAsia="標楷體" w:hAnsi="標楷體"/>
          <w:szCs w:val="24"/>
        </w:rPr>
      </w:pPr>
      <w:r w:rsidRPr="003D2C60">
        <w:rPr>
          <w:rFonts w:ascii="標楷體" w:eastAsia="標楷體" w:hAnsi="標楷體" w:hint="eastAsia"/>
          <w:szCs w:val="24"/>
          <w:highlight w:val="yellow"/>
        </w:rPr>
        <w:t>(注意事項)</w:t>
      </w:r>
    </w:p>
    <w:p w:rsidR="00116B65" w:rsidRPr="004D64BD" w:rsidRDefault="00F7184C" w:rsidP="004D64BD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CC"/>
        </w:rPr>
      </w:pPr>
      <w:r w:rsidRPr="004D64BD">
        <w:rPr>
          <w:rFonts w:ascii="標楷體" w:eastAsia="標楷體" w:hAnsi="標楷體" w:hint="eastAsia"/>
          <w:szCs w:val="24"/>
        </w:rPr>
        <w:t>本中心已於104/9/21以</w:t>
      </w:r>
      <w:proofErr w:type="gramStart"/>
      <w:r w:rsidRPr="004D64BD">
        <w:rPr>
          <w:rFonts w:ascii="標楷體" w:eastAsia="標楷體" w:hAnsi="標楷體"/>
        </w:rPr>
        <w:t>證櫃審字</w:t>
      </w:r>
      <w:proofErr w:type="gramEnd"/>
      <w:r w:rsidRPr="004D64BD">
        <w:rPr>
          <w:rFonts w:ascii="標楷體" w:eastAsia="標楷體" w:hAnsi="標楷體"/>
        </w:rPr>
        <w:t>第10400267851號</w:t>
      </w:r>
      <w:r w:rsidR="00EC6CB7" w:rsidRPr="004D64BD">
        <w:rPr>
          <w:rFonts w:ascii="標楷體" w:eastAsia="標楷體" w:hAnsi="標楷體" w:hint="eastAsia"/>
        </w:rPr>
        <w:t>公告，</w:t>
      </w:r>
      <w:r w:rsidR="003D2C60" w:rsidRPr="004D64BD">
        <w:rPr>
          <w:rFonts w:ascii="標楷體" w:eastAsia="標楷體" w:hAnsi="標楷體" w:hint="eastAsia"/>
        </w:rPr>
        <w:t>有關</w:t>
      </w:r>
      <w:r w:rsidR="00EC6CB7" w:rsidRPr="004D64BD">
        <w:rPr>
          <w:rFonts w:ascii="標楷體" w:eastAsia="標楷體" w:hAnsi="標楷體"/>
        </w:rPr>
        <w:t>本中心於103年10月27日</w:t>
      </w:r>
      <w:proofErr w:type="gramStart"/>
      <w:r w:rsidR="00EC6CB7" w:rsidRPr="004D64BD">
        <w:rPr>
          <w:rFonts w:ascii="標楷體" w:eastAsia="標楷體" w:hAnsi="標楷體"/>
        </w:rPr>
        <w:t>證櫃審</w:t>
      </w:r>
      <w:proofErr w:type="gramEnd"/>
      <w:r w:rsidR="00EC6CB7" w:rsidRPr="004D64BD">
        <w:rPr>
          <w:rFonts w:ascii="標楷體" w:eastAsia="標楷體" w:hAnsi="標楷體"/>
        </w:rPr>
        <w:t>字第10301016831號函公告之附件，</w:t>
      </w:r>
      <w:r w:rsidR="003D2C60" w:rsidRPr="004D64BD">
        <w:rPr>
          <w:rFonts w:ascii="標楷體" w:eastAsia="標楷體" w:hAnsi="標楷體"/>
          <w:b/>
          <w:color w:val="FF0000"/>
        </w:rPr>
        <w:t>其中</w:t>
      </w:r>
      <w:r w:rsidR="00EC6CB7" w:rsidRPr="004D64BD">
        <w:rPr>
          <w:rFonts w:ascii="標楷體" w:eastAsia="標楷體" w:hAnsi="標楷體"/>
          <w:b/>
          <w:color w:val="FF0000"/>
        </w:rPr>
        <w:t>「發行人募集與發行有價證券基本資料表」、「發行人依金管會規定填報經會計師複核之案件檢查表」及「律師依規定出具之法律意見書及檢查表」，自即日起請逕依金管會公告之格式內容辦理，惟該等書件中之</w:t>
      </w:r>
      <w:r w:rsidR="00EC6CB7" w:rsidRPr="004D64BD">
        <w:rPr>
          <w:rFonts w:ascii="標楷體" w:eastAsia="標楷體" w:hAnsi="標楷體"/>
          <w:b/>
          <w:color w:val="FF0000"/>
        </w:rPr>
        <w:lastRenderedPageBreak/>
        <w:t>受理申報單位請自行調整為「財團法人中華民國證券櫃檯買賣中心」。</w:t>
      </w:r>
      <w:r w:rsidR="006E2D87" w:rsidRPr="004D64BD">
        <w:rPr>
          <w:rFonts w:ascii="標楷體" w:eastAsia="標楷體" w:hAnsi="標楷體" w:hint="eastAsia"/>
          <w:b/>
          <w:color w:val="0000CC"/>
        </w:rPr>
        <w:t>(</w:t>
      </w:r>
      <w:r w:rsidR="00AE333C" w:rsidRPr="004D64BD">
        <w:rPr>
          <w:rFonts w:ascii="標楷體" w:eastAsia="標楷體" w:hAnsi="標楷體" w:hint="eastAsia"/>
          <w:color w:val="0000CC"/>
        </w:rPr>
        <w:t>前開</w:t>
      </w:r>
      <w:r w:rsidR="00116B65" w:rsidRPr="004D64BD">
        <w:rPr>
          <w:rFonts w:ascii="標楷體" w:eastAsia="標楷體" w:hAnsi="標楷體" w:hint="eastAsia"/>
          <w:color w:val="0000CC"/>
        </w:rPr>
        <w:t>檔案</w:t>
      </w:r>
      <w:r w:rsidR="00290ECF">
        <w:rPr>
          <w:rFonts w:ascii="標楷體" w:eastAsia="標楷體" w:hAnsi="標楷體" w:hint="eastAsia"/>
          <w:color w:val="0000CC"/>
        </w:rPr>
        <w:t>可</w:t>
      </w:r>
      <w:r w:rsidR="004D64BD" w:rsidRPr="004D64BD">
        <w:rPr>
          <w:rFonts w:ascii="標楷體" w:eastAsia="標楷體" w:hAnsi="標楷體" w:hint="eastAsia"/>
          <w:color w:val="0000CC"/>
        </w:rPr>
        <w:t>至本中心網站首頁\</w:t>
      </w:r>
      <w:hyperlink r:id="rId10" w:tooltip="公發及募資" w:history="1">
        <w:r w:rsidR="004D64BD" w:rsidRPr="004D64BD">
          <w:rPr>
            <w:rFonts w:ascii="標楷體" w:eastAsia="標楷體" w:hAnsi="標楷體"/>
            <w:color w:val="0000CC"/>
          </w:rPr>
          <w:t>公發及募資</w:t>
        </w:r>
      </w:hyperlink>
      <w:r w:rsidR="004D64BD" w:rsidRPr="004D64BD">
        <w:rPr>
          <w:rFonts w:ascii="標楷體" w:eastAsia="標楷體" w:hAnsi="標楷體"/>
          <w:color w:val="0000CC"/>
        </w:rPr>
        <w:t>&gt;</w:t>
      </w:r>
      <w:hyperlink r:id="rId11" w:tooltip="申報案件" w:history="1">
        <w:r w:rsidR="004D64BD" w:rsidRPr="004D64BD">
          <w:rPr>
            <w:rFonts w:ascii="標楷體" w:eastAsia="標楷體" w:hAnsi="標楷體"/>
            <w:color w:val="0000CC"/>
          </w:rPr>
          <w:t>申報案件</w:t>
        </w:r>
      </w:hyperlink>
      <w:r w:rsidR="004D64BD" w:rsidRPr="004D64BD">
        <w:rPr>
          <w:rFonts w:ascii="標楷體" w:eastAsia="標楷體" w:hAnsi="標楷體"/>
          <w:color w:val="0000CC"/>
        </w:rPr>
        <w:t>&gt;</w:t>
      </w:r>
      <w:hyperlink r:id="rId12" w:tooltip="申報案件表格下載" w:history="1">
        <w:r w:rsidR="004D64BD" w:rsidRPr="004D64BD">
          <w:rPr>
            <w:rFonts w:ascii="標楷體" w:eastAsia="標楷體" w:hAnsi="標楷體"/>
            <w:color w:val="0000CC"/>
          </w:rPr>
          <w:t>申報案件表格下載</w:t>
        </w:r>
      </w:hyperlink>
      <w:r w:rsidR="00EF6B41">
        <w:rPr>
          <w:rFonts w:ascii="標楷體" w:eastAsia="標楷體" w:hAnsi="標楷體" w:hint="eastAsia"/>
          <w:color w:val="0000CC"/>
        </w:rPr>
        <w:t>)</w:t>
      </w:r>
    </w:p>
    <w:p w:rsidR="00EC6CB7" w:rsidRPr="00116B65" w:rsidRDefault="008C3B49" w:rsidP="00116B6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color w:val="FF0000"/>
        </w:rPr>
      </w:pPr>
      <w:r w:rsidRPr="00116B65">
        <w:rPr>
          <w:rFonts w:ascii="標楷體" w:eastAsia="標楷體" w:hAnsi="標楷體" w:hint="eastAsia"/>
          <w:szCs w:val="24"/>
        </w:rPr>
        <w:t>有關</w:t>
      </w:r>
      <w:r w:rsidR="00700E62" w:rsidRPr="00116B65">
        <w:rPr>
          <w:rFonts w:ascii="標楷體" w:eastAsia="標楷體" w:hAnsi="標楷體" w:hint="eastAsia"/>
          <w:szCs w:val="24"/>
        </w:rPr>
        <w:t>首次辦理股票公開發行</w:t>
      </w:r>
      <w:r w:rsidRPr="00116B65">
        <w:rPr>
          <w:rFonts w:ascii="標楷體" w:eastAsia="標楷體" w:hAnsi="標楷體" w:hint="eastAsia"/>
          <w:szCs w:val="24"/>
        </w:rPr>
        <w:t>案件應檢送之三年兩本財報部分</w:t>
      </w:r>
      <w:r w:rsidR="00E67BA0" w:rsidRPr="00116B65">
        <w:rPr>
          <w:rFonts w:ascii="標楷體" w:eastAsia="標楷體" w:hAnsi="標楷體" w:hint="eastAsia"/>
          <w:szCs w:val="24"/>
        </w:rPr>
        <w:t>是否應</w:t>
      </w:r>
      <w:r w:rsidRPr="00116B65">
        <w:rPr>
          <w:rFonts w:ascii="標楷體" w:eastAsia="標楷體" w:hAnsi="標楷體" w:hint="eastAsia"/>
          <w:szCs w:val="24"/>
        </w:rPr>
        <w:t>依「證券發行人財務報告編製準則」規定編製</w:t>
      </w:r>
      <w:r w:rsidR="00391FF7" w:rsidRPr="00116B65">
        <w:rPr>
          <w:rFonts w:ascii="標楷體" w:eastAsia="標楷體" w:hAnsi="標楷體" w:hint="eastAsia"/>
          <w:szCs w:val="24"/>
        </w:rPr>
        <w:t>，請詳「</w:t>
      </w:r>
      <w:r w:rsidR="00391FF7" w:rsidRPr="00116B65">
        <w:rPr>
          <w:rFonts w:ascii="標楷體" w:eastAsia="標楷體" w:hAnsi="標楷體"/>
          <w:szCs w:val="24"/>
        </w:rPr>
        <w:t>常見問題及應注意事項</w:t>
      </w:r>
      <w:r w:rsidR="00391FF7" w:rsidRPr="00116B65">
        <w:rPr>
          <w:rFonts w:ascii="標楷體" w:eastAsia="標楷體" w:hAnsi="標楷體" w:hint="eastAsia"/>
          <w:szCs w:val="24"/>
        </w:rPr>
        <w:t>」</w:t>
      </w:r>
      <w:r w:rsidR="009D7A52" w:rsidRPr="00116B65">
        <w:rPr>
          <w:rFonts w:ascii="標楷體" w:eastAsia="標楷體" w:hAnsi="標楷體" w:hint="eastAsia"/>
          <w:szCs w:val="24"/>
        </w:rPr>
        <w:t xml:space="preserve">P.7~P.8 </w:t>
      </w:r>
      <w:r w:rsidR="00391FF7" w:rsidRPr="00116B65">
        <w:rPr>
          <w:rFonts w:ascii="標楷體" w:eastAsia="標楷體" w:hAnsi="標楷體" w:hint="eastAsia"/>
          <w:szCs w:val="24"/>
        </w:rPr>
        <w:t>(本中心網站&gt;</w:t>
      </w:r>
      <w:proofErr w:type="gramStart"/>
      <w:r w:rsidR="00391FF7" w:rsidRPr="00116B65">
        <w:rPr>
          <w:rFonts w:ascii="標楷體" w:eastAsia="標楷體" w:hAnsi="標楷體" w:hint="eastAsia"/>
          <w:szCs w:val="24"/>
        </w:rPr>
        <w:t>公發及募</w:t>
      </w:r>
      <w:proofErr w:type="gramEnd"/>
      <w:r w:rsidR="00391FF7" w:rsidRPr="00116B65">
        <w:rPr>
          <w:rFonts w:ascii="標楷體" w:eastAsia="標楷體" w:hAnsi="標楷體" w:hint="eastAsia"/>
          <w:szCs w:val="24"/>
        </w:rPr>
        <w:t>資專區&gt;</w:t>
      </w:r>
      <w:proofErr w:type="gramStart"/>
      <w:r w:rsidR="00391FF7" w:rsidRPr="00116B65">
        <w:rPr>
          <w:rFonts w:ascii="標楷體" w:eastAsia="標楷體" w:hAnsi="標楷體" w:hint="eastAsia"/>
          <w:szCs w:val="24"/>
        </w:rPr>
        <w:t>募發案</w:t>
      </w:r>
      <w:proofErr w:type="gramEnd"/>
      <w:r w:rsidR="00391FF7" w:rsidRPr="00116B65">
        <w:rPr>
          <w:rFonts w:ascii="標楷體" w:eastAsia="標楷體" w:hAnsi="標楷體" w:hint="eastAsia"/>
          <w:szCs w:val="24"/>
        </w:rPr>
        <w:t>件專區簡介&gt;</w:t>
      </w:r>
      <w:r w:rsidR="00391FF7" w:rsidRPr="00116B65">
        <w:rPr>
          <w:rFonts w:ascii="標楷體" w:eastAsia="標楷體" w:hAnsi="標楷體"/>
          <w:szCs w:val="24"/>
        </w:rPr>
        <w:t>常見問題及應注意事項</w:t>
      </w:r>
      <w:r w:rsidR="00391FF7" w:rsidRPr="00116B65">
        <w:rPr>
          <w:rFonts w:ascii="標楷體" w:eastAsia="標楷體" w:hAnsi="標楷體" w:hint="eastAsia"/>
          <w:szCs w:val="24"/>
        </w:rPr>
        <w:t>)</w:t>
      </w:r>
      <w:r w:rsidR="00EC6CB7" w:rsidRPr="00116B65">
        <w:rPr>
          <w:rFonts w:ascii="標楷體" w:eastAsia="標楷體" w:hAnsi="標楷體" w:hint="eastAsia"/>
          <w:szCs w:val="24"/>
        </w:rPr>
        <w:t>；</w:t>
      </w:r>
    </w:p>
    <w:p w:rsidR="00391FF7" w:rsidRPr="00EC6CB7" w:rsidRDefault="00EC6CB7" w:rsidP="00EC6CB7">
      <w:pPr>
        <w:ind w:leftChars="-140" w:hangingChars="140" w:hanging="336"/>
        <w:rPr>
          <w:rFonts w:ascii="標楷體" w:eastAsia="標楷體" w:hAnsi="標楷體"/>
          <w:color w:val="000000" w:themeColor="text1"/>
          <w:szCs w:val="24"/>
          <w:highlight w:val="yellow"/>
        </w:rPr>
      </w:pPr>
      <w:r w:rsidRPr="00C62705">
        <w:rPr>
          <w:rFonts w:ascii="標楷體" w:eastAsia="標楷體" w:hAnsi="標楷體" w:hint="eastAsia"/>
          <w:color w:val="FF0000"/>
          <w:szCs w:val="24"/>
        </w:rPr>
        <w:t xml:space="preserve">   </w:t>
      </w:r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有關發行人申報首次辦理股票公開發行案件，於第2季終了45天後送件者(以下簡稱「8月15日以後申報補辦公發者」)，依規定應加送「</w:t>
      </w:r>
      <w:proofErr w:type="gramStart"/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採</w:t>
      </w:r>
      <w:proofErr w:type="gramEnd"/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IFRSs編製之第2季財務報告」，該財務報告應採兩期對照方式編製，</w:t>
      </w:r>
      <w:r w:rsidR="00391FF7" w:rsidRPr="00C62705">
        <w:rPr>
          <w:rFonts w:ascii="標楷體" w:eastAsia="標楷體" w:hAnsi="標楷體" w:hint="eastAsia"/>
          <w:b/>
          <w:color w:val="000000" w:themeColor="text1"/>
          <w:szCs w:val="24"/>
        </w:rPr>
        <w:t>惟</w:t>
      </w:r>
      <w:proofErr w:type="gramStart"/>
      <w:r w:rsidR="00391FF7" w:rsidRPr="00C62705">
        <w:rPr>
          <w:rFonts w:ascii="標楷體" w:eastAsia="標楷體" w:hAnsi="標楷體" w:hint="eastAsia"/>
          <w:b/>
          <w:color w:val="000000" w:themeColor="text1"/>
          <w:szCs w:val="24"/>
        </w:rPr>
        <w:t>比較期得未</w:t>
      </w:r>
      <w:proofErr w:type="gramEnd"/>
      <w:r w:rsidR="00391FF7" w:rsidRPr="00C62705">
        <w:rPr>
          <w:rFonts w:ascii="標楷體" w:eastAsia="標楷體" w:hAnsi="標楷體" w:hint="eastAsia"/>
          <w:b/>
          <w:color w:val="000000" w:themeColor="text1"/>
          <w:szCs w:val="24"/>
        </w:rPr>
        <w:t>經會計師核閱</w:t>
      </w:r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;而申請登錄</w:t>
      </w:r>
      <w:proofErr w:type="gramStart"/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興櫃者</w:t>
      </w:r>
      <w:proofErr w:type="gramEnd"/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(含申報補辦公開發行併送申請登錄</w:t>
      </w:r>
      <w:proofErr w:type="gramStart"/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興櫃</w:t>
      </w:r>
      <w:proofErr w:type="gramEnd"/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者)，依本中心「</w:t>
      </w:r>
      <w:proofErr w:type="gramStart"/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興櫃股</w:t>
      </w:r>
      <w:proofErr w:type="gramEnd"/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票櫃檯買賣申請書」規定，「申請或預計</w:t>
      </w:r>
      <w:proofErr w:type="gramStart"/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登錄興櫃</w:t>
      </w:r>
      <w:proofErr w:type="gramEnd"/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日」已逾第2季終了45天者，亦應檢送「採IFRSs編製之第2季財務報告」，</w:t>
      </w:r>
      <w:r w:rsidR="00391FF7" w:rsidRPr="00C62705">
        <w:rPr>
          <w:rFonts w:ascii="標楷體" w:eastAsia="標楷體" w:hAnsi="標楷體" w:hint="eastAsia"/>
          <w:b/>
          <w:color w:val="000000" w:themeColor="text1"/>
          <w:szCs w:val="24"/>
        </w:rPr>
        <w:t>該財務報告之編製應依公開發行公司相關規定辦理，亦即應採兩期對照方式且</w:t>
      </w:r>
      <w:proofErr w:type="gramStart"/>
      <w:r w:rsidR="00391FF7" w:rsidRPr="00C62705">
        <w:rPr>
          <w:rFonts w:ascii="標楷體" w:eastAsia="標楷體" w:hAnsi="標楷體" w:hint="eastAsia"/>
          <w:b/>
          <w:color w:val="000000" w:themeColor="text1"/>
          <w:szCs w:val="24"/>
        </w:rPr>
        <w:t>兩期均須</w:t>
      </w:r>
      <w:proofErr w:type="gramEnd"/>
      <w:r w:rsidR="00391FF7" w:rsidRPr="00C62705">
        <w:rPr>
          <w:rFonts w:ascii="標楷體" w:eastAsia="標楷體" w:hAnsi="標楷體" w:hint="eastAsia"/>
          <w:b/>
          <w:color w:val="000000" w:themeColor="text1"/>
          <w:szCs w:val="24"/>
        </w:rPr>
        <w:t>經會計師核閱</w:t>
      </w:r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。故若「8月15日以後申報補辦公發</w:t>
      </w:r>
      <w:r w:rsidR="00037937" w:rsidRPr="00C62705">
        <w:rPr>
          <w:rFonts w:ascii="標楷體" w:eastAsia="標楷體" w:hAnsi="標楷體" w:hint="eastAsia"/>
          <w:color w:val="000000" w:themeColor="text1"/>
          <w:szCs w:val="24"/>
        </w:rPr>
        <w:t>者</w:t>
      </w:r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」欲於當年底前申請登錄</w:t>
      </w:r>
      <w:proofErr w:type="gramStart"/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興櫃，</w:t>
      </w:r>
      <w:proofErr w:type="gramEnd"/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於申報補辦公開發行</w:t>
      </w:r>
      <w:proofErr w:type="gramStart"/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時所檢</w:t>
      </w:r>
      <w:proofErr w:type="gramEnd"/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送之「採IFRSs編製之第2季財務報告」，得即採前開公開發行公司相關規定辦理(亦即採兩期對照方式且</w:t>
      </w:r>
      <w:proofErr w:type="gramStart"/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兩期均須</w:t>
      </w:r>
      <w:proofErr w:type="gramEnd"/>
      <w:r w:rsidR="00391FF7" w:rsidRPr="00C62705">
        <w:rPr>
          <w:rFonts w:ascii="標楷體" w:eastAsia="標楷體" w:hAnsi="標楷體" w:hint="eastAsia"/>
          <w:color w:val="000000" w:themeColor="text1"/>
          <w:szCs w:val="24"/>
        </w:rPr>
        <w:t>經會計師核閱)，以茲因應。</w:t>
      </w:r>
      <w:r w:rsidR="00767C83" w:rsidRPr="00C62705">
        <w:rPr>
          <w:rFonts w:ascii="標楷體" w:eastAsia="標楷體" w:hAnsi="標楷體" w:hint="eastAsia"/>
          <w:color w:val="000000" w:themeColor="text1"/>
          <w:szCs w:val="24"/>
        </w:rPr>
        <w:t>另依本中心「興櫃股票櫃檯買賣申請書」規定發行人應檢送第二季IFRSs財務報告之時間點，請詳「</w:t>
      </w:r>
      <w:r w:rsidR="00767C83" w:rsidRPr="00C62705">
        <w:rPr>
          <w:rFonts w:ascii="標楷體" w:eastAsia="標楷體" w:hAnsi="標楷體"/>
          <w:color w:val="000000" w:themeColor="text1"/>
          <w:szCs w:val="24"/>
        </w:rPr>
        <w:t>常見問題及應注意事項</w:t>
      </w:r>
      <w:r w:rsidR="00767C83" w:rsidRPr="00C62705">
        <w:rPr>
          <w:rFonts w:ascii="標楷體" w:eastAsia="標楷體" w:hAnsi="標楷體" w:hint="eastAsia"/>
          <w:color w:val="000000" w:themeColor="text1"/>
          <w:szCs w:val="24"/>
        </w:rPr>
        <w:t>」(本中心網站&gt;公發及募資專區&gt;募發案件專區簡介&gt;</w:t>
      </w:r>
      <w:r w:rsidR="00767C83" w:rsidRPr="00C62705">
        <w:rPr>
          <w:rFonts w:ascii="標楷體" w:eastAsia="標楷體" w:hAnsi="標楷體"/>
          <w:color w:val="000000" w:themeColor="text1"/>
          <w:szCs w:val="24"/>
        </w:rPr>
        <w:t>常見問題及應注意事項</w:t>
      </w:r>
      <w:r w:rsidR="00767C83" w:rsidRPr="00C62705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sectPr w:rsidR="00391FF7" w:rsidRPr="00EC6CB7" w:rsidSect="00AC6B73">
      <w:pgSz w:w="11906" w:h="16838"/>
      <w:pgMar w:top="1276" w:right="1133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E55" w:rsidRDefault="000F2E55" w:rsidP="00E21487">
      <w:r>
        <w:separator/>
      </w:r>
    </w:p>
  </w:endnote>
  <w:endnote w:type="continuationSeparator" w:id="0">
    <w:p w:rsidR="000F2E55" w:rsidRDefault="000F2E55" w:rsidP="00E2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E55" w:rsidRDefault="000F2E55" w:rsidP="00E21487">
      <w:r>
        <w:separator/>
      </w:r>
    </w:p>
  </w:footnote>
  <w:footnote w:type="continuationSeparator" w:id="0">
    <w:p w:rsidR="000F2E55" w:rsidRDefault="000F2E55" w:rsidP="00E2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151"/>
    <w:multiLevelType w:val="hybridMultilevel"/>
    <w:tmpl w:val="55B22806"/>
    <w:lvl w:ilvl="0" w:tplc="EAA671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AA671F6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8E0B16"/>
    <w:multiLevelType w:val="hybridMultilevel"/>
    <w:tmpl w:val="A8542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9FD10A7"/>
    <w:multiLevelType w:val="hybridMultilevel"/>
    <w:tmpl w:val="55B22806"/>
    <w:lvl w:ilvl="0" w:tplc="EAA671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AA671F6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0E21D6"/>
    <w:multiLevelType w:val="hybridMultilevel"/>
    <w:tmpl w:val="F68E431C"/>
    <w:lvl w:ilvl="0" w:tplc="EAA671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D544D44">
      <w:start w:val="1"/>
      <w:numFmt w:val="decimal"/>
      <w:lvlText w:val="%2.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8D5957"/>
    <w:multiLevelType w:val="hybridMultilevel"/>
    <w:tmpl w:val="50E0FA00"/>
    <w:lvl w:ilvl="0" w:tplc="89D8A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22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38A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E0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E8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6EA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89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6E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64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532C9"/>
    <w:multiLevelType w:val="hybridMultilevel"/>
    <w:tmpl w:val="F35A6F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1AD316E"/>
    <w:multiLevelType w:val="hybridMultilevel"/>
    <w:tmpl w:val="F38620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9F54E1"/>
    <w:multiLevelType w:val="hybridMultilevel"/>
    <w:tmpl w:val="57C0CE00"/>
    <w:lvl w:ilvl="0" w:tplc="49F0EF56">
      <w:start w:val="1"/>
      <w:numFmt w:val="decimal"/>
      <w:lvlText w:val="%1."/>
      <w:lvlJc w:val="left"/>
      <w:pPr>
        <w:ind w:left="24" w:hanging="360"/>
      </w:pPr>
      <w:rPr>
        <w:rFonts w:ascii="標楷體" w:eastAsia="標楷體" w:hAnsi="標楷體" w:cstheme="minorBidi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24" w:hanging="480"/>
      </w:pPr>
    </w:lvl>
    <w:lvl w:ilvl="2" w:tplc="0409001B" w:tentative="1">
      <w:start w:val="1"/>
      <w:numFmt w:val="lowerRoman"/>
      <w:lvlText w:val="%3."/>
      <w:lvlJc w:val="right"/>
      <w:pPr>
        <w:ind w:left="1104" w:hanging="480"/>
      </w:pPr>
    </w:lvl>
    <w:lvl w:ilvl="3" w:tplc="0409000F" w:tentative="1">
      <w:start w:val="1"/>
      <w:numFmt w:val="decimal"/>
      <w:lvlText w:val="%4."/>
      <w:lvlJc w:val="left"/>
      <w:pPr>
        <w:ind w:left="15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4" w:hanging="480"/>
      </w:pPr>
    </w:lvl>
    <w:lvl w:ilvl="5" w:tplc="0409001B" w:tentative="1">
      <w:start w:val="1"/>
      <w:numFmt w:val="lowerRoman"/>
      <w:lvlText w:val="%6."/>
      <w:lvlJc w:val="right"/>
      <w:pPr>
        <w:ind w:left="2544" w:hanging="480"/>
      </w:pPr>
    </w:lvl>
    <w:lvl w:ilvl="6" w:tplc="0409000F" w:tentative="1">
      <w:start w:val="1"/>
      <w:numFmt w:val="decimal"/>
      <w:lvlText w:val="%7."/>
      <w:lvlJc w:val="left"/>
      <w:pPr>
        <w:ind w:left="30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4" w:hanging="480"/>
      </w:pPr>
    </w:lvl>
    <w:lvl w:ilvl="8" w:tplc="0409001B" w:tentative="1">
      <w:start w:val="1"/>
      <w:numFmt w:val="lowerRoman"/>
      <w:lvlText w:val="%9."/>
      <w:lvlJc w:val="right"/>
      <w:pPr>
        <w:ind w:left="3984" w:hanging="480"/>
      </w:pPr>
    </w:lvl>
  </w:abstractNum>
  <w:abstractNum w:abstractNumId="8" w15:restartNumberingAfterBreak="0">
    <w:nsid w:val="754646B2"/>
    <w:multiLevelType w:val="hybridMultilevel"/>
    <w:tmpl w:val="55B22806"/>
    <w:lvl w:ilvl="0" w:tplc="EAA671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AA671F6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54"/>
    <w:rsid w:val="000351C7"/>
    <w:rsid w:val="00037937"/>
    <w:rsid w:val="000976B9"/>
    <w:rsid w:val="000C695C"/>
    <w:rsid w:val="000F2E55"/>
    <w:rsid w:val="000F6EF7"/>
    <w:rsid w:val="00116B65"/>
    <w:rsid w:val="0018383D"/>
    <w:rsid w:val="00192B27"/>
    <w:rsid w:val="001963BE"/>
    <w:rsid w:val="001C4C66"/>
    <w:rsid w:val="001E4403"/>
    <w:rsid w:val="00273AB3"/>
    <w:rsid w:val="00281F52"/>
    <w:rsid w:val="00290ECF"/>
    <w:rsid w:val="003023EF"/>
    <w:rsid w:val="0033184E"/>
    <w:rsid w:val="00362D6F"/>
    <w:rsid w:val="003705AF"/>
    <w:rsid w:val="00391FF7"/>
    <w:rsid w:val="003C2E53"/>
    <w:rsid w:val="003D2C60"/>
    <w:rsid w:val="00442D84"/>
    <w:rsid w:val="004D64BD"/>
    <w:rsid w:val="006128F1"/>
    <w:rsid w:val="00681F8B"/>
    <w:rsid w:val="006E2D87"/>
    <w:rsid w:val="00700E62"/>
    <w:rsid w:val="007178B8"/>
    <w:rsid w:val="00761B0F"/>
    <w:rsid w:val="00767C83"/>
    <w:rsid w:val="00781E6B"/>
    <w:rsid w:val="007B2EDF"/>
    <w:rsid w:val="007C7829"/>
    <w:rsid w:val="007D4C4D"/>
    <w:rsid w:val="008061EA"/>
    <w:rsid w:val="00824E17"/>
    <w:rsid w:val="00873C6C"/>
    <w:rsid w:val="008B3004"/>
    <w:rsid w:val="008B70F4"/>
    <w:rsid w:val="008C2597"/>
    <w:rsid w:val="008C3B49"/>
    <w:rsid w:val="00904172"/>
    <w:rsid w:val="00922D35"/>
    <w:rsid w:val="00925791"/>
    <w:rsid w:val="00952844"/>
    <w:rsid w:val="00975B20"/>
    <w:rsid w:val="009D7A52"/>
    <w:rsid w:val="009E6329"/>
    <w:rsid w:val="00A415C7"/>
    <w:rsid w:val="00AC488C"/>
    <w:rsid w:val="00AC6B73"/>
    <w:rsid w:val="00AE333C"/>
    <w:rsid w:val="00B36B54"/>
    <w:rsid w:val="00B525B9"/>
    <w:rsid w:val="00B730A7"/>
    <w:rsid w:val="00BE3209"/>
    <w:rsid w:val="00C0398F"/>
    <w:rsid w:val="00C24C8D"/>
    <w:rsid w:val="00C62705"/>
    <w:rsid w:val="00C86BB2"/>
    <w:rsid w:val="00D04FBC"/>
    <w:rsid w:val="00D2149B"/>
    <w:rsid w:val="00DB1716"/>
    <w:rsid w:val="00DB7F93"/>
    <w:rsid w:val="00E072D1"/>
    <w:rsid w:val="00E21487"/>
    <w:rsid w:val="00E66346"/>
    <w:rsid w:val="00E67BA0"/>
    <w:rsid w:val="00E73BDE"/>
    <w:rsid w:val="00EC6CB7"/>
    <w:rsid w:val="00EF303C"/>
    <w:rsid w:val="00EF6B41"/>
    <w:rsid w:val="00F7184C"/>
    <w:rsid w:val="00FA04D5"/>
    <w:rsid w:val="00FA13FD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AB92A4-3DBF-4EE0-9E40-09461FF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03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C4C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1C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14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1487"/>
    <w:rPr>
      <w:sz w:val="20"/>
      <w:szCs w:val="20"/>
    </w:rPr>
  </w:style>
  <w:style w:type="character" w:styleId="a9">
    <w:name w:val="Hyperlink"/>
    <w:basedOn w:val="a0"/>
    <w:uiPriority w:val="99"/>
    <w:unhideWhenUsed/>
    <w:rsid w:val="000F6EF7"/>
    <w:rPr>
      <w:color w:val="1C4116"/>
      <w:u w:val="single"/>
    </w:rPr>
  </w:style>
  <w:style w:type="character" w:customStyle="1" w:styleId="broot1">
    <w:name w:val="broot1"/>
    <w:basedOn w:val="a0"/>
    <w:rsid w:val="00116B65"/>
    <w:rPr>
      <w:strike w:val="0"/>
      <w:dstrike w:val="0"/>
      <w:color w:val="009999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0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4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aw.com.tw/Scripts/NewsDetail.asp?no=G0100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law.com.tw/Scripts/NewsDetail.asp?no=G0100021" TargetMode="External"/><Relationship Id="rId12" Type="http://schemas.openxmlformats.org/officeDocument/2006/relationships/hyperlink" Target="http://www.tpex.org.tw/ch/pi/announce/downloa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pex.org.tw/web/pi/declaration/download.php?l=zh-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pex.org.tw/ch/pi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law.com.tw/Scripts/NewsDetail.asp?no=G0100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吳郁馨</dc:creator>
  <cp:lastModifiedBy>info peng</cp:lastModifiedBy>
  <cp:revision>4</cp:revision>
  <cp:lastPrinted>2018-09-28T02:59:00Z</cp:lastPrinted>
  <dcterms:created xsi:type="dcterms:W3CDTF">2018-09-28T02:59:00Z</dcterms:created>
  <dcterms:modified xsi:type="dcterms:W3CDTF">2018-10-26T10:13:00Z</dcterms:modified>
</cp:coreProperties>
</file>