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1" w:rsidRPr="00975805" w:rsidRDefault="00512C0F" w:rsidP="00417E41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標楷體" w:hAnsi="Times New Roman" w:cs="Arial"/>
          <w:b/>
          <w:bCs/>
          <w:kern w:val="0"/>
          <w:sz w:val="28"/>
          <w:szCs w:val="28"/>
        </w:rPr>
      </w:pPr>
      <w:r w:rsidRPr="00975805">
        <w:rPr>
          <w:rFonts w:ascii="Times New Roman" w:eastAsia="標楷體" w:hAnsi="Times New Roman" w:cs="Arial" w:hint="eastAsia"/>
          <w:b/>
          <w:bCs/>
          <w:kern w:val="0"/>
          <w:sz w:val="28"/>
          <w:szCs w:val="28"/>
        </w:rPr>
        <w:t>OO</w:t>
      </w:r>
      <w:r w:rsidRPr="00975805">
        <w:rPr>
          <w:rFonts w:ascii="Times New Roman" w:eastAsia="標楷體" w:hAnsi="Times New Roman" w:cs="Arial" w:hint="eastAsia"/>
          <w:b/>
          <w:bCs/>
          <w:kern w:val="0"/>
          <w:sz w:val="28"/>
          <w:szCs w:val="28"/>
        </w:rPr>
        <w:t>證券募資</w:t>
      </w:r>
      <w:r w:rsidR="00F71F03" w:rsidRPr="00975805">
        <w:rPr>
          <w:rFonts w:ascii="Times New Roman" w:eastAsia="標楷體" w:hAnsi="Times New Roman" w:cs="Arial" w:hint="eastAsia"/>
          <w:b/>
          <w:bCs/>
          <w:kern w:val="0"/>
          <w:sz w:val="28"/>
          <w:szCs w:val="28"/>
        </w:rPr>
        <w:t>平台</w:t>
      </w:r>
      <w:r w:rsidR="00417E41" w:rsidRPr="00975805">
        <w:rPr>
          <w:rFonts w:ascii="Times New Roman" w:eastAsia="標楷體" w:hAnsi="Times New Roman" w:cs="Arial"/>
          <w:b/>
          <w:bCs/>
          <w:kern w:val="0"/>
          <w:sz w:val="28"/>
          <w:szCs w:val="28"/>
        </w:rPr>
        <w:t>股票風險預告書</w:t>
      </w:r>
    </w:p>
    <w:p w:rsidR="007618A1" w:rsidRPr="00417E41" w:rsidRDefault="007618A1" w:rsidP="00417E41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leftChars="0" w:left="482" w:hanging="482"/>
        <w:outlineLvl w:val="1"/>
        <w:rPr>
          <w:rFonts w:ascii="Times New Roman" w:eastAsia="標楷體" w:hAnsi="Times New Roman" w:cs="新細明體"/>
          <w:b/>
          <w:bCs/>
          <w:kern w:val="0"/>
          <w:szCs w:val="24"/>
        </w:rPr>
      </w:pPr>
      <w:r w:rsidRPr="00417E41">
        <w:rPr>
          <w:rFonts w:ascii="Times New Roman" w:eastAsia="標楷體" w:hAnsi="Times New Roman" w:cs="Arial" w:hint="eastAsia"/>
          <w:vanish/>
          <w:kern w:val="0"/>
          <w:szCs w:val="24"/>
        </w:rPr>
        <w:t>表單的頂端</w:t>
      </w:r>
      <w:r w:rsidR="00417E41">
        <w:rPr>
          <w:rFonts w:ascii="Times New Roman" w:eastAsia="標楷體" w:hAnsi="Times New Roman" w:cs="Arial" w:hint="eastAsia"/>
          <w:kern w:val="0"/>
          <w:szCs w:val="24"/>
        </w:rPr>
        <w:t>透過</w:t>
      </w:r>
      <w:r w:rsidR="00512C0F" w:rsidRPr="00512C0F">
        <w:rPr>
          <w:rFonts w:ascii="Times New Roman" w:eastAsia="標楷體" w:hAnsi="Times New Roman" w:cs="Arial" w:hint="eastAsia"/>
          <w:bCs/>
          <w:kern w:val="0"/>
          <w:szCs w:val="24"/>
        </w:rPr>
        <w:t>OO</w:t>
      </w:r>
      <w:r w:rsidR="00512C0F" w:rsidRPr="00512C0F">
        <w:rPr>
          <w:rFonts w:ascii="Times New Roman" w:eastAsia="標楷體" w:hAnsi="Times New Roman" w:cs="Arial" w:hint="eastAsia"/>
          <w:bCs/>
          <w:kern w:val="0"/>
          <w:szCs w:val="24"/>
        </w:rPr>
        <w:t>證券股份有限</w:t>
      </w:r>
      <w:r w:rsidR="00512C0F" w:rsidRPr="00512C0F">
        <w:rPr>
          <w:rFonts w:ascii="Times New Roman" w:eastAsia="標楷體" w:hAnsi="Times New Roman" w:cs="Arial" w:hint="eastAsia"/>
          <w:kern w:val="0"/>
          <w:szCs w:val="24"/>
        </w:rPr>
        <w:t>公司</w:t>
      </w:r>
      <w:r w:rsidR="00512C0F" w:rsidRPr="00512C0F">
        <w:rPr>
          <w:rFonts w:ascii="Times New Roman" w:eastAsia="標楷體" w:hAnsi="Times New Roman" w:cs="Arial"/>
          <w:kern w:val="0"/>
          <w:szCs w:val="24"/>
        </w:rPr>
        <w:t>（下稱</w:t>
      </w:r>
      <w:r w:rsidR="00512C0F" w:rsidRPr="00512C0F">
        <w:rPr>
          <w:rFonts w:ascii="Times New Roman" w:eastAsia="標楷體" w:hAnsi="Times New Roman" w:cs="Arial" w:hint="eastAsia"/>
          <w:bCs/>
          <w:kern w:val="0"/>
          <w:szCs w:val="24"/>
        </w:rPr>
        <w:t>OO</w:t>
      </w:r>
      <w:r w:rsidR="00512C0F" w:rsidRPr="00512C0F">
        <w:rPr>
          <w:rFonts w:ascii="Times New Roman" w:eastAsia="標楷體" w:hAnsi="Times New Roman" w:cs="Arial" w:hint="eastAsia"/>
          <w:bCs/>
          <w:kern w:val="0"/>
          <w:szCs w:val="24"/>
        </w:rPr>
        <w:t>證券</w:t>
      </w:r>
      <w:r w:rsidR="00512C0F" w:rsidRPr="00512C0F">
        <w:rPr>
          <w:rFonts w:ascii="Times New Roman" w:eastAsia="標楷體" w:hAnsi="Times New Roman" w:cs="Arial"/>
          <w:kern w:val="0"/>
          <w:szCs w:val="24"/>
        </w:rPr>
        <w:t>）</w:t>
      </w:r>
      <w:r w:rsidR="00512C0F">
        <w:rPr>
          <w:rFonts w:ascii="Times New Roman" w:eastAsia="標楷體" w:hAnsi="Times New Roman" w:cs="Arial" w:hint="eastAsia"/>
          <w:kern w:val="0"/>
          <w:szCs w:val="24"/>
        </w:rPr>
        <w:t>設置之募資</w:t>
      </w:r>
      <w:r w:rsidR="00417E41">
        <w:rPr>
          <w:rFonts w:ascii="Times New Roman" w:eastAsia="標楷體" w:hAnsi="Times New Roman" w:cs="Arial" w:hint="eastAsia"/>
          <w:kern w:val="0"/>
          <w:szCs w:val="24"/>
        </w:rPr>
        <w:t>平台</w:t>
      </w:r>
      <w:r w:rsidR="00512C0F" w:rsidRPr="00512C0F">
        <w:rPr>
          <w:rFonts w:ascii="Times New Roman" w:eastAsia="標楷體" w:hAnsi="Times New Roman" w:cs="Arial"/>
          <w:kern w:val="0"/>
          <w:szCs w:val="24"/>
        </w:rPr>
        <w:t>（下稱</w:t>
      </w:r>
      <w:r w:rsidR="00512C0F">
        <w:rPr>
          <w:rFonts w:ascii="Times New Roman" w:eastAsia="標楷體" w:hAnsi="Times New Roman" w:cs="Arial" w:hint="eastAsia"/>
          <w:kern w:val="0"/>
          <w:szCs w:val="24"/>
        </w:rPr>
        <w:t>本平台</w:t>
      </w:r>
      <w:r w:rsidR="00512C0F" w:rsidRPr="00512C0F">
        <w:rPr>
          <w:rFonts w:ascii="Times New Roman" w:eastAsia="標楷體" w:hAnsi="Times New Roman" w:cs="Arial"/>
          <w:kern w:val="0"/>
          <w:szCs w:val="24"/>
        </w:rPr>
        <w:t>）</w:t>
      </w:r>
      <w:r w:rsidR="00417E41">
        <w:rPr>
          <w:rFonts w:ascii="Times New Roman" w:eastAsia="標楷體" w:hAnsi="Times New Roman" w:cs="Arial" w:hint="eastAsia"/>
          <w:kern w:val="0"/>
          <w:szCs w:val="24"/>
        </w:rPr>
        <w:t>辦理股權募資之公司</w:t>
      </w:r>
      <w:r w:rsidR="0048193B" w:rsidRPr="0048193B">
        <w:rPr>
          <w:rFonts w:ascii="Times New Roman" w:eastAsia="標楷體" w:hAnsi="Times New Roman" w:cs="Arial"/>
          <w:kern w:val="0"/>
          <w:szCs w:val="24"/>
        </w:rPr>
        <w:t>（下稱</w:t>
      </w:r>
      <w:r w:rsidR="0048193B">
        <w:rPr>
          <w:rFonts w:ascii="Times New Roman" w:eastAsia="標楷體" w:hAnsi="Times New Roman" w:cs="Arial" w:hint="eastAsia"/>
          <w:kern w:val="0"/>
          <w:szCs w:val="24"/>
        </w:rPr>
        <w:t>募資</w:t>
      </w:r>
      <w:r w:rsidR="0048193B" w:rsidRPr="0048193B">
        <w:rPr>
          <w:rFonts w:ascii="Times New Roman" w:eastAsia="標楷體" w:hAnsi="Times New Roman" w:cs="Arial" w:hint="eastAsia"/>
          <w:kern w:val="0"/>
          <w:szCs w:val="24"/>
        </w:rPr>
        <w:t>公司</w:t>
      </w:r>
      <w:r w:rsidR="0048193B" w:rsidRPr="0048193B">
        <w:rPr>
          <w:rFonts w:ascii="Times New Roman" w:eastAsia="標楷體" w:hAnsi="Times New Roman" w:cs="Arial"/>
          <w:kern w:val="0"/>
          <w:szCs w:val="24"/>
        </w:rPr>
        <w:t>）</w:t>
      </w:r>
      <w:r w:rsidR="00512C0F">
        <w:rPr>
          <w:rFonts w:ascii="標楷體" w:eastAsia="標楷體" w:hAnsi="標楷體" w:cs="Arial" w:hint="eastAsia"/>
          <w:kern w:val="0"/>
          <w:szCs w:val="24"/>
        </w:rPr>
        <w:t>，</w:t>
      </w:r>
      <w:r w:rsidR="00417E41" w:rsidRPr="00417E41">
        <w:rPr>
          <w:rFonts w:ascii="Times New Roman" w:eastAsia="標楷體" w:hAnsi="Times New Roman" w:cs="新細明體"/>
          <w:kern w:val="0"/>
          <w:szCs w:val="24"/>
        </w:rPr>
        <w:t>屬未公開發行股票公司，其股票係未上市、未上櫃及未登錄</w:t>
      </w:r>
      <w:proofErr w:type="gramStart"/>
      <w:r w:rsidR="00417E41" w:rsidRPr="00417E41">
        <w:rPr>
          <w:rFonts w:ascii="Times New Roman" w:eastAsia="標楷體" w:hAnsi="Times New Roman" w:cs="新細明體"/>
          <w:kern w:val="0"/>
          <w:szCs w:val="24"/>
        </w:rPr>
        <w:t>興櫃，</w:t>
      </w:r>
      <w:proofErr w:type="gramEnd"/>
      <w:r w:rsidR="0048193B">
        <w:rPr>
          <w:rFonts w:ascii="Times New Roman" w:eastAsia="標楷體" w:hAnsi="Times New Roman" w:cs="Arial" w:hint="eastAsia"/>
          <w:kern w:val="0"/>
          <w:szCs w:val="24"/>
        </w:rPr>
        <w:t>募資</w:t>
      </w:r>
      <w:r w:rsidR="00417E41" w:rsidRPr="00417E41">
        <w:rPr>
          <w:rFonts w:ascii="Times New Roman" w:eastAsia="標楷體" w:hAnsi="Times New Roman" w:cs="新細明體"/>
          <w:kern w:val="0"/>
          <w:szCs w:val="24"/>
        </w:rPr>
        <w:t>公司之財務會計制度、內部控制制度及公司治理，可能未若公開發行公司完善及</w:t>
      </w:r>
      <w:proofErr w:type="gramStart"/>
      <w:r w:rsidR="00417E41" w:rsidRPr="00417E41">
        <w:rPr>
          <w:rFonts w:ascii="Times New Roman" w:eastAsia="標楷體" w:hAnsi="Times New Roman" w:cs="新細明體"/>
          <w:kern w:val="0"/>
          <w:szCs w:val="24"/>
        </w:rPr>
        <w:t>健全，</w:t>
      </w:r>
      <w:proofErr w:type="gramEnd"/>
      <w:r w:rsidR="00417E41" w:rsidRPr="00417E41">
        <w:rPr>
          <w:rFonts w:ascii="Times New Roman" w:eastAsia="標楷體" w:hAnsi="Times New Roman" w:cs="新細明體"/>
          <w:kern w:val="0"/>
          <w:szCs w:val="24"/>
        </w:rPr>
        <w:t>且未委託專家進行實質審查，</w:t>
      </w:r>
      <w:r w:rsidR="0048193B">
        <w:rPr>
          <w:rFonts w:ascii="Times New Roman" w:eastAsia="標楷體" w:hAnsi="Times New Roman" w:cs="Arial" w:hint="eastAsia"/>
          <w:kern w:val="0"/>
          <w:szCs w:val="24"/>
        </w:rPr>
        <w:t>募資</w:t>
      </w:r>
      <w:r w:rsidR="00417E41" w:rsidRPr="00417E41">
        <w:rPr>
          <w:rFonts w:ascii="Times New Roman" w:eastAsia="標楷體" w:hAnsi="Times New Roman" w:cs="新細明體"/>
          <w:kern w:val="0"/>
          <w:szCs w:val="24"/>
        </w:rPr>
        <w:t>公司可能尚未獲利或持續虧損，並有無法永續經營之可能。</w:t>
      </w:r>
    </w:p>
    <w:p w:rsidR="00417E41" w:rsidRPr="0048193B" w:rsidRDefault="00417E41" w:rsidP="00417E41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leftChars="0" w:left="482" w:hanging="482"/>
        <w:outlineLvl w:val="1"/>
        <w:rPr>
          <w:rFonts w:ascii="Times New Roman" w:eastAsia="標楷體" w:hAnsi="Times New Roman" w:cs="新細明體"/>
          <w:b/>
          <w:bCs/>
          <w:kern w:val="0"/>
          <w:szCs w:val="24"/>
        </w:rPr>
      </w:pPr>
      <w:r>
        <w:rPr>
          <w:rFonts w:ascii="Times New Roman" w:eastAsia="標楷體" w:hAnsi="Times New Roman" w:cs="Arial" w:hint="eastAsia"/>
          <w:vanish/>
          <w:kern w:val="0"/>
          <w:szCs w:val="24"/>
        </w:rPr>
        <w:t>本</w:t>
      </w:r>
      <w:r w:rsidR="0048193B" w:rsidRPr="0048193B">
        <w:rPr>
          <w:rFonts w:ascii="Times New Roman" w:eastAsia="標楷體" w:hAnsi="Times New Roman" w:cs="Arial" w:hint="eastAsia"/>
          <w:bCs/>
          <w:kern w:val="0"/>
          <w:szCs w:val="24"/>
        </w:rPr>
        <w:t>OO</w:t>
      </w:r>
      <w:r w:rsidR="0048193B" w:rsidRPr="0048193B">
        <w:rPr>
          <w:rFonts w:ascii="Times New Roman" w:eastAsia="標楷體" w:hAnsi="Times New Roman" w:cs="Arial" w:hint="eastAsia"/>
          <w:bCs/>
          <w:kern w:val="0"/>
          <w:szCs w:val="24"/>
        </w:rPr>
        <w:t>證券</w:t>
      </w:r>
      <w:r w:rsidRPr="00417E41">
        <w:rPr>
          <w:rFonts w:ascii="Times New Roman" w:eastAsia="標楷體" w:hAnsi="Times New Roman" w:cs="Arial"/>
          <w:kern w:val="0"/>
          <w:szCs w:val="24"/>
        </w:rPr>
        <w:t>僅受理</w:t>
      </w:r>
      <w:r>
        <w:rPr>
          <w:rFonts w:ascii="Times New Roman" w:eastAsia="標楷體" w:hAnsi="Times New Roman" w:cs="Arial" w:hint="eastAsia"/>
          <w:kern w:val="0"/>
          <w:szCs w:val="24"/>
        </w:rPr>
        <w:t>募資</w:t>
      </w:r>
      <w:r w:rsidRPr="00417E41">
        <w:rPr>
          <w:rFonts w:ascii="Times New Roman" w:eastAsia="標楷體" w:hAnsi="Times New Roman" w:cs="Arial"/>
          <w:kern w:val="0"/>
          <w:szCs w:val="24"/>
        </w:rPr>
        <w:t>公司</w:t>
      </w:r>
      <w:r w:rsidR="00512C0F">
        <w:rPr>
          <w:rFonts w:ascii="Times New Roman" w:eastAsia="標楷體" w:hAnsi="Times New Roman" w:cs="Arial" w:hint="eastAsia"/>
          <w:kern w:val="0"/>
          <w:szCs w:val="24"/>
        </w:rPr>
        <w:t>透過</w:t>
      </w:r>
      <w:r>
        <w:rPr>
          <w:rFonts w:ascii="Times New Roman" w:eastAsia="標楷體" w:hAnsi="Times New Roman" w:cs="Arial" w:hint="eastAsia"/>
          <w:kern w:val="0"/>
          <w:szCs w:val="24"/>
        </w:rPr>
        <w:t>本平台</w:t>
      </w:r>
      <w:r w:rsidR="00F84721">
        <w:rPr>
          <w:rFonts w:ascii="Times New Roman" w:eastAsia="標楷體" w:hAnsi="Times New Roman" w:cs="Arial" w:hint="eastAsia"/>
          <w:kern w:val="0"/>
          <w:szCs w:val="24"/>
        </w:rPr>
        <w:t>辦理股權募資</w:t>
      </w:r>
      <w:r w:rsidR="0048193B">
        <w:rPr>
          <w:rFonts w:ascii="標楷體" w:eastAsia="標楷體" w:hAnsi="標楷體" w:cs="Arial" w:hint="eastAsia"/>
          <w:kern w:val="0"/>
          <w:szCs w:val="24"/>
        </w:rPr>
        <w:t>，</w:t>
      </w:r>
      <w:r w:rsidR="0048193B" w:rsidRPr="0048193B">
        <w:rPr>
          <w:rFonts w:ascii="標楷體" w:eastAsia="標楷體" w:hAnsi="標楷體" w:cs="Arial"/>
          <w:kern w:val="0"/>
          <w:szCs w:val="24"/>
        </w:rPr>
        <w:t>並未進行任何實質審查，</w:t>
      </w:r>
      <w:r w:rsidR="0048193B" w:rsidRPr="0048193B">
        <w:rPr>
          <w:rFonts w:ascii="標楷體" w:eastAsia="標楷體" w:hAnsi="標楷體" w:cs="Arial"/>
          <w:b/>
          <w:bCs/>
          <w:color w:val="FF0000"/>
          <w:kern w:val="0"/>
          <w:szCs w:val="24"/>
        </w:rPr>
        <w:t>投資風險極高</w:t>
      </w:r>
      <w:r w:rsidR="0048193B" w:rsidRPr="0048193B">
        <w:rPr>
          <w:rFonts w:ascii="標楷體" w:eastAsia="標楷體" w:hAnsi="標楷體" w:cs="Arial"/>
          <w:kern w:val="0"/>
          <w:szCs w:val="24"/>
        </w:rPr>
        <w:t>， 台端應審慎評估本身之財務能力與經濟狀況是否適於認購投資</w:t>
      </w:r>
      <w:r w:rsidR="00512C0F">
        <w:rPr>
          <w:rFonts w:ascii="Times New Roman" w:eastAsia="標楷體" w:hAnsi="Times New Roman" w:cs="Arial" w:hint="eastAsia"/>
          <w:kern w:val="0"/>
          <w:szCs w:val="24"/>
        </w:rPr>
        <w:t>募資</w:t>
      </w:r>
      <w:r w:rsidR="0048193B" w:rsidRPr="0048193B">
        <w:rPr>
          <w:rFonts w:ascii="標楷體" w:eastAsia="標楷體" w:hAnsi="標楷體" w:cs="Arial"/>
          <w:kern w:val="0"/>
          <w:szCs w:val="24"/>
        </w:rPr>
        <w:t>公司之股票。</w:t>
      </w:r>
    </w:p>
    <w:p w:rsidR="0048193B" w:rsidRPr="00756A15" w:rsidRDefault="0048193B" w:rsidP="00756A15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leftChars="0" w:left="482" w:hanging="482"/>
        <w:outlineLvl w:val="1"/>
        <w:rPr>
          <w:rFonts w:ascii="Times New Roman" w:eastAsia="標楷體" w:hAnsi="Times New Roman" w:cs="新細明體"/>
          <w:b/>
          <w:bCs/>
          <w:kern w:val="0"/>
          <w:szCs w:val="24"/>
        </w:rPr>
      </w:pP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</w:t>
      </w:r>
      <w:r w:rsidR="00EE04EC">
        <w:rPr>
          <w:rFonts w:ascii="Times New Roman" w:eastAsia="標楷體" w:hAnsi="Times New Roman" w:cs="新細明體"/>
          <w:bCs/>
          <w:kern w:val="0"/>
          <w:szCs w:val="24"/>
        </w:rPr>
        <w:t>公司未辦理股票公開發行程序，</w:t>
      </w:r>
      <w:r w:rsidR="00EE04EC" w:rsidRPr="00EE04EC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</w:rPr>
        <w:t>可能</w:t>
      </w:r>
      <w:r w:rsidR="00EE04EC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</w:rPr>
        <w:t>在</w:t>
      </w:r>
      <w:r w:rsidRPr="00EE04EC">
        <w:rPr>
          <w:rFonts w:ascii="Times New Roman" w:eastAsia="標楷體" w:hAnsi="Times New Roman" w:cs="新細明體"/>
          <w:b/>
          <w:bCs/>
          <w:color w:val="FF0000"/>
          <w:kern w:val="0"/>
          <w:szCs w:val="24"/>
        </w:rPr>
        <w:t>適用證券交易法、證券投資人及期貨交易人保護法</w:t>
      </w:r>
      <w:r w:rsidR="00EE04EC" w:rsidRPr="00EE04EC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、</w:t>
      </w:r>
      <w:r w:rsidR="00EE04EC" w:rsidRPr="00EE04EC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</w:rPr>
        <w:t>金融消費者保護法</w:t>
      </w:r>
      <w:r w:rsidR="00EE04EC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，</w:t>
      </w:r>
      <w:r w:rsidR="00EE04EC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</w:rPr>
        <w:t>有相當之不確定性</w:t>
      </w:r>
      <w:r w:rsidRPr="0048193B">
        <w:rPr>
          <w:rFonts w:ascii="Times New Roman" w:eastAsia="標楷體" w:hAnsi="Times New Roman" w:cs="新細明體"/>
          <w:bCs/>
          <w:kern w:val="0"/>
          <w:szCs w:val="24"/>
        </w:rPr>
        <w:t>，</w:t>
      </w:r>
      <w:r w:rsidRPr="0048193B">
        <w:rPr>
          <w:rFonts w:ascii="Times New Roman" w:eastAsia="標楷體" w:hAnsi="Times New Roman" w:cs="新細明體"/>
          <w:bCs/>
          <w:kern w:val="0"/>
          <w:szCs w:val="24"/>
        </w:rPr>
        <w:t xml:space="preserve"> </w:t>
      </w:r>
      <w:r w:rsidRPr="0048193B">
        <w:rPr>
          <w:rFonts w:ascii="Times New Roman" w:eastAsia="標楷體" w:hAnsi="Times New Roman" w:cs="新細明體"/>
          <w:bCs/>
          <w:kern w:val="0"/>
          <w:szCs w:val="24"/>
        </w:rPr>
        <w:t>台端在決定認購投資</w:t>
      </w:r>
      <w:r w:rsidR="00512C0F">
        <w:rPr>
          <w:rFonts w:ascii="Times New Roman" w:eastAsia="標楷體" w:hAnsi="Times New Roman" w:cs="Arial" w:hint="eastAsia"/>
          <w:kern w:val="0"/>
          <w:szCs w:val="24"/>
        </w:rPr>
        <w:t>募資</w:t>
      </w:r>
      <w:r w:rsidRPr="0048193B">
        <w:rPr>
          <w:rFonts w:ascii="Times New Roman" w:eastAsia="標楷體" w:hAnsi="Times New Roman" w:cs="新細明體"/>
          <w:bCs/>
          <w:kern w:val="0"/>
          <w:szCs w:val="24"/>
        </w:rPr>
        <w:t>公司股票前，除已充分</w:t>
      </w:r>
      <w:r w:rsidRPr="00756A15">
        <w:rPr>
          <w:rFonts w:ascii="Times New Roman" w:eastAsia="標楷體" w:hAnsi="Times New Roman" w:cs="新細明體"/>
          <w:kern w:val="0"/>
          <w:szCs w:val="24"/>
        </w:rPr>
        <w:t>瞭解</w:t>
      </w:r>
      <w:r w:rsidRPr="0048193B">
        <w:rPr>
          <w:rFonts w:ascii="Times New Roman" w:eastAsia="標楷體" w:hAnsi="Times New Roman" w:cs="新細明體"/>
          <w:bCs/>
          <w:kern w:val="0"/>
          <w:szCs w:val="24"/>
        </w:rPr>
        <w:t>法律保障權利程度不足之外，並應特別考慮以下事宜：</w:t>
      </w:r>
    </w:p>
    <w:p w:rsidR="00756A15" w:rsidRDefault="00756A15" w:rsidP="00756A15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募資公司</w:t>
      </w:r>
      <w:r w:rsidRPr="00756A15">
        <w:rPr>
          <w:rFonts w:ascii="Times New Roman" w:eastAsia="標楷體" w:hAnsi="Times New Roman" w:cs="新細明體"/>
          <w:bCs/>
          <w:kern w:val="0"/>
          <w:szCs w:val="24"/>
        </w:rPr>
        <w:t>股票之認購投資係依自己之判斷為之。</w:t>
      </w:r>
    </w:p>
    <w:p w:rsidR="00756A15" w:rsidRDefault="00756A15" w:rsidP="00756A15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</w:t>
      </w:r>
      <w:r w:rsidRPr="00756A15">
        <w:rPr>
          <w:rFonts w:ascii="Times New Roman" w:eastAsia="標楷體" w:hAnsi="Times New Roman" w:cs="新細明體"/>
          <w:bCs/>
          <w:kern w:val="0"/>
          <w:szCs w:val="24"/>
        </w:rPr>
        <w:t>公司具有股票流通性低，公司資本額較小、設立時間較短且獲利能力不穩定等之特性。</w:t>
      </w:r>
    </w:p>
    <w:p w:rsidR="00756A15" w:rsidRDefault="00756A15" w:rsidP="00756A15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 w:rsidRPr="00756A15">
        <w:rPr>
          <w:rFonts w:ascii="Times New Roman" w:eastAsia="標楷體" w:hAnsi="Times New Roman" w:cs="新細明體"/>
          <w:bCs/>
          <w:kern w:val="0"/>
          <w:szCs w:val="24"/>
        </w:rPr>
        <w:t>「非專業投資人」每人</w:t>
      </w:r>
      <w:r>
        <w:rPr>
          <w:rFonts w:ascii="Times New Roman" w:eastAsia="標楷體" w:hAnsi="Times New Roman" w:cs="新細明體" w:hint="eastAsia"/>
          <w:bCs/>
          <w:kern w:val="0"/>
          <w:szCs w:val="24"/>
        </w:rPr>
        <w:t>於一會計</w:t>
      </w:r>
      <w:r w:rsidRPr="00756A15">
        <w:rPr>
          <w:rFonts w:ascii="Times New Roman" w:eastAsia="標楷體" w:hAnsi="Times New Roman" w:cs="新細明體"/>
          <w:bCs/>
          <w:kern w:val="0"/>
          <w:szCs w:val="24"/>
        </w:rPr>
        <w:t>年</w:t>
      </w:r>
      <w:r>
        <w:rPr>
          <w:rFonts w:ascii="Times New Roman" w:eastAsia="標楷體" w:hAnsi="Times New Roman" w:cs="新細明體" w:hint="eastAsia"/>
          <w:bCs/>
          <w:kern w:val="0"/>
          <w:szCs w:val="24"/>
        </w:rPr>
        <w:t>度</w:t>
      </w:r>
      <w:r w:rsidRPr="00756A15">
        <w:rPr>
          <w:rFonts w:ascii="Times New Roman" w:eastAsia="標楷體" w:hAnsi="Times New Roman" w:cs="新細明體"/>
          <w:bCs/>
          <w:kern w:val="0"/>
          <w:szCs w:val="24"/>
        </w:rPr>
        <w:t>內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Pr="00756A15">
        <w:rPr>
          <w:rFonts w:ascii="Times New Roman" w:eastAsia="標楷體" w:hAnsi="Times New Roman" w:cs="新細明體"/>
          <w:bCs/>
          <w:kern w:val="0"/>
          <w:szCs w:val="24"/>
        </w:rPr>
        <w:t>透過</w:t>
      </w:r>
      <w:r w:rsidR="005A750E">
        <w:rPr>
          <w:rFonts w:ascii="Times New Roman" w:eastAsia="標楷體" w:hAnsi="Times New Roman" w:cs="Arial" w:hint="eastAsia"/>
          <w:bCs/>
          <w:kern w:val="0"/>
          <w:szCs w:val="24"/>
        </w:rPr>
        <w:t>本</w:t>
      </w:r>
      <w:r w:rsidRPr="00756A15">
        <w:rPr>
          <w:rFonts w:ascii="Times New Roman" w:eastAsia="標楷體" w:hAnsi="Times New Roman" w:cs="新細明體" w:hint="eastAsia"/>
          <w:bCs/>
          <w:kern w:val="0"/>
          <w:szCs w:val="24"/>
        </w:rPr>
        <w:t>平台進行認購之投資金額，其單次認購金額不得逾新臺幣</w:t>
      </w:r>
      <w:r w:rsidR="00E70603">
        <w:rPr>
          <w:rFonts w:ascii="Times New Roman" w:eastAsia="標楷體" w:hAnsi="Times New Roman" w:cs="新細明體" w:hint="eastAsia"/>
          <w:bCs/>
          <w:kern w:val="0"/>
          <w:szCs w:val="24"/>
        </w:rPr>
        <w:t>五</w:t>
      </w:r>
      <w:r w:rsidRPr="00756A15">
        <w:rPr>
          <w:rFonts w:ascii="Times New Roman" w:eastAsia="標楷體" w:hAnsi="Times New Roman" w:cs="新細明體" w:hint="eastAsia"/>
          <w:bCs/>
          <w:kern w:val="0"/>
          <w:szCs w:val="24"/>
        </w:rPr>
        <w:t>萬元，且合計不得逾新臺幣</w:t>
      </w:r>
      <w:r w:rsidR="00E70603">
        <w:rPr>
          <w:rFonts w:ascii="Times New Roman" w:eastAsia="標楷體" w:hAnsi="Times New Roman" w:cs="新細明體" w:hint="eastAsia"/>
          <w:bCs/>
          <w:kern w:val="0"/>
          <w:szCs w:val="24"/>
        </w:rPr>
        <w:t>十</w:t>
      </w:r>
      <w:bookmarkStart w:id="0" w:name="_GoBack"/>
      <w:bookmarkEnd w:id="0"/>
      <w:r w:rsidRPr="00756A15">
        <w:rPr>
          <w:rFonts w:ascii="Times New Roman" w:eastAsia="標楷體" w:hAnsi="Times New Roman" w:cs="新細明體" w:hint="eastAsia"/>
          <w:bCs/>
          <w:kern w:val="0"/>
          <w:szCs w:val="24"/>
        </w:rPr>
        <w:t>萬元</w:t>
      </w:r>
      <w:r w:rsidR="00F84721" w:rsidRPr="00756A15">
        <w:rPr>
          <w:rFonts w:ascii="Times New Roman" w:eastAsia="標楷體" w:hAnsi="Times New Roman" w:cs="新細明體"/>
          <w:bCs/>
          <w:kern w:val="0"/>
          <w:szCs w:val="24"/>
        </w:rPr>
        <w:t>，</w:t>
      </w:r>
      <w:r w:rsidR="00F84721">
        <w:rPr>
          <w:rFonts w:ascii="Times New Roman" w:eastAsia="標楷體" w:hAnsi="Times New Roman" w:cs="新細明體" w:hint="eastAsia"/>
          <w:bCs/>
          <w:kern w:val="0"/>
          <w:szCs w:val="24"/>
        </w:rPr>
        <w:t>但</w:t>
      </w: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募資前</w:t>
      </w:r>
      <w:r w:rsidR="00EE04EC">
        <w:rPr>
          <w:rFonts w:ascii="Times New Roman" w:eastAsia="標楷體" w:hAnsi="Times New Roman" w:cs="新細明體" w:hint="eastAsia"/>
          <w:bCs/>
          <w:kern w:val="0"/>
          <w:szCs w:val="24"/>
        </w:rPr>
        <w:t>該公司董事</w:t>
      </w:r>
      <w:r w:rsidR="00EE04EC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EE04EC">
        <w:rPr>
          <w:rFonts w:ascii="Times New Roman" w:eastAsia="標楷體" w:hAnsi="Times New Roman" w:cs="新細明體" w:hint="eastAsia"/>
          <w:bCs/>
          <w:kern w:val="0"/>
          <w:szCs w:val="24"/>
        </w:rPr>
        <w:t>監察人及持股百分之十以上</w:t>
      </w:r>
      <w:r w:rsidRPr="00756A15">
        <w:rPr>
          <w:rFonts w:ascii="Times New Roman" w:eastAsia="標楷體" w:hAnsi="Times New Roman" w:cs="新細明體" w:hint="eastAsia"/>
          <w:bCs/>
          <w:kern w:val="0"/>
          <w:szCs w:val="24"/>
        </w:rPr>
        <w:t>股東</w:t>
      </w:r>
      <w:r w:rsidRPr="00756A15">
        <w:rPr>
          <w:rFonts w:ascii="Times New Roman" w:eastAsia="標楷體" w:hAnsi="Times New Roman" w:cs="新細明體"/>
          <w:bCs/>
          <w:kern w:val="0"/>
          <w:szCs w:val="24"/>
        </w:rPr>
        <w:t>認購該公司部分不在此限。</w:t>
      </w:r>
    </w:p>
    <w:p w:rsidR="00F84721" w:rsidRPr="00756A15" w:rsidRDefault="00F84721" w:rsidP="00756A15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</w:t>
      </w:r>
      <w:r w:rsidRPr="00F84721">
        <w:rPr>
          <w:rFonts w:ascii="Times New Roman" w:eastAsia="標楷體" w:hAnsi="Times New Roman" w:cs="新細明體"/>
          <w:bCs/>
          <w:kern w:val="0"/>
          <w:szCs w:val="24"/>
        </w:rPr>
        <w:t>公司或其董事、監察人、經理人有違法或違反契約之情事，或因認購投資</w:t>
      </w: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募資公司</w:t>
      </w:r>
      <w:r w:rsidRPr="00F84721">
        <w:rPr>
          <w:rFonts w:ascii="Times New Roman" w:eastAsia="標楷體" w:hAnsi="Times New Roman" w:cs="新細明體"/>
          <w:bCs/>
          <w:kern w:val="0"/>
          <w:szCs w:val="24"/>
        </w:rPr>
        <w:t>股票所生糾紛時，</w:t>
      </w:r>
      <w:r w:rsidRPr="00F84721">
        <w:rPr>
          <w:rFonts w:ascii="Times New Roman" w:eastAsia="標楷體" w:hAnsi="Times New Roman" w:cs="新細明體"/>
          <w:bCs/>
          <w:kern w:val="0"/>
          <w:szCs w:val="24"/>
        </w:rPr>
        <w:t xml:space="preserve"> </w:t>
      </w:r>
      <w:r w:rsidRPr="00F84721">
        <w:rPr>
          <w:rFonts w:ascii="Times New Roman" w:eastAsia="標楷體" w:hAnsi="Times New Roman" w:cs="新細明體"/>
          <w:bCs/>
          <w:kern w:val="0"/>
          <w:szCs w:val="24"/>
        </w:rPr>
        <w:t>台端應自行依公司法、民法或其他相關法律規定、</w:t>
      </w:r>
      <w:r w:rsidR="00F71F03" w:rsidRPr="00F71F03">
        <w:rPr>
          <w:rFonts w:ascii="Times New Roman" w:eastAsia="標楷體" w:hAnsi="Times New Roman" w:cs="新細明體"/>
          <w:bCs/>
          <w:kern w:val="0"/>
          <w:szCs w:val="24"/>
        </w:rPr>
        <w:t>契約約定，循法律途徑辦理。</w:t>
      </w:r>
    </w:p>
    <w:p w:rsidR="00756A15" w:rsidRDefault="00F71F03" w:rsidP="00417E41">
      <w:pPr>
        <w:pStyle w:val="a4"/>
        <w:widowControl/>
        <w:numPr>
          <w:ilvl w:val="0"/>
          <w:numId w:val="1"/>
        </w:numPr>
        <w:pBdr>
          <w:bottom w:val="double" w:sz="6" w:space="1" w:color="auto"/>
        </w:pBdr>
        <w:spacing w:before="100" w:beforeAutospacing="1" w:after="100" w:afterAutospacing="1"/>
        <w:ind w:leftChars="0" w:left="482" w:hanging="482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 w:rsidRPr="00F71F03">
        <w:rPr>
          <w:rFonts w:ascii="Times New Roman" w:eastAsia="標楷體" w:hAnsi="Times New Roman" w:cs="新細明體"/>
          <w:bCs/>
          <w:kern w:val="0"/>
          <w:szCs w:val="24"/>
        </w:rPr>
        <w:t>本風險預告書之預告事項僅列舉大端，對於所有認購投資</w:t>
      </w:r>
      <w:r w:rsidR="005A750E">
        <w:rPr>
          <w:rFonts w:ascii="Times New Roman" w:eastAsia="標楷體" w:hAnsi="Times New Roman" w:cs="新細明體" w:hint="eastAsia"/>
          <w:bCs/>
          <w:kern w:val="0"/>
          <w:szCs w:val="24"/>
        </w:rPr>
        <w:t>募資</w:t>
      </w:r>
      <w:r w:rsidR="005A750E" w:rsidRPr="00F84721">
        <w:rPr>
          <w:rFonts w:ascii="Times New Roman" w:eastAsia="標楷體" w:hAnsi="Times New Roman" w:cs="新細明體"/>
          <w:bCs/>
          <w:kern w:val="0"/>
          <w:szCs w:val="24"/>
        </w:rPr>
        <w:t>公司</w:t>
      </w:r>
      <w:r w:rsidRPr="00F71F03">
        <w:rPr>
          <w:rFonts w:ascii="Times New Roman" w:eastAsia="標楷體" w:hAnsi="Times New Roman" w:cs="新細明體"/>
          <w:bCs/>
          <w:kern w:val="0"/>
          <w:szCs w:val="24"/>
        </w:rPr>
        <w:t>股票之風險因素無法一一詳述，</w:t>
      </w:r>
      <w:r w:rsidRPr="00F71F03">
        <w:rPr>
          <w:rFonts w:ascii="Times New Roman" w:eastAsia="標楷體" w:hAnsi="Times New Roman" w:cs="新細明體"/>
          <w:bCs/>
          <w:kern w:val="0"/>
          <w:szCs w:val="24"/>
        </w:rPr>
        <w:t xml:space="preserve"> </w:t>
      </w:r>
      <w:r w:rsidRPr="00F71F03">
        <w:rPr>
          <w:rFonts w:ascii="Times New Roman" w:eastAsia="標楷體" w:hAnsi="Times New Roman" w:cs="新細明體"/>
          <w:bCs/>
          <w:kern w:val="0"/>
          <w:szCs w:val="24"/>
        </w:rPr>
        <w:t>台端於認購投資</w:t>
      </w:r>
      <w:r w:rsidR="005A750E">
        <w:rPr>
          <w:rFonts w:ascii="Times New Roman" w:eastAsia="標楷體" w:hAnsi="Times New Roman" w:cs="新細明體" w:hint="eastAsia"/>
          <w:bCs/>
          <w:kern w:val="0"/>
          <w:szCs w:val="24"/>
        </w:rPr>
        <w:t>募資</w:t>
      </w:r>
      <w:r w:rsidR="005A750E" w:rsidRPr="00F84721">
        <w:rPr>
          <w:rFonts w:ascii="Times New Roman" w:eastAsia="標楷體" w:hAnsi="Times New Roman" w:cs="新細明體"/>
          <w:bCs/>
          <w:kern w:val="0"/>
          <w:szCs w:val="24"/>
        </w:rPr>
        <w:t>公司</w:t>
      </w:r>
      <w:r w:rsidRPr="00F71F03">
        <w:rPr>
          <w:rFonts w:ascii="Times New Roman" w:eastAsia="標楷體" w:hAnsi="Times New Roman" w:cs="新細明體"/>
          <w:bCs/>
          <w:kern w:val="0"/>
          <w:szCs w:val="24"/>
        </w:rPr>
        <w:t>股票前除須對本風險預告書詳加</w:t>
      </w:r>
      <w:proofErr w:type="gramStart"/>
      <w:r w:rsidRPr="00F71F03">
        <w:rPr>
          <w:rFonts w:ascii="Times New Roman" w:eastAsia="標楷體" w:hAnsi="Times New Roman" w:cs="新細明體"/>
          <w:bCs/>
          <w:kern w:val="0"/>
          <w:szCs w:val="24"/>
        </w:rPr>
        <w:t>研</w:t>
      </w:r>
      <w:proofErr w:type="gramEnd"/>
      <w:r w:rsidRPr="00F71F03">
        <w:rPr>
          <w:rFonts w:ascii="Times New Roman" w:eastAsia="標楷體" w:hAnsi="Times New Roman" w:cs="新細明體"/>
          <w:bCs/>
          <w:kern w:val="0"/>
          <w:szCs w:val="24"/>
        </w:rPr>
        <w:t>讀外，對其他可能之影響因素亦有所警覺，並確實做好財務規劃與風險評估。</w:t>
      </w:r>
    </w:p>
    <w:p w:rsidR="005A750E" w:rsidRDefault="005A750E" w:rsidP="005A750E">
      <w:pPr>
        <w:widowControl/>
        <w:spacing w:before="100" w:beforeAutospacing="1" w:after="100" w:afterAutospacing="1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 w:rsidRPr="005A750E">
        <w:rPr>
          <w:rFonts w:ascii="Times New Roman" w:eastAsia="標楷體" w:hAnsi="Times New Roman" w:cs="新細明體"/>
          <w:bCs/>
          <w:kern w:val="0"/>
          <w:szCs w:val="24"/>
        </w:rPr>
        <w:t>本人承諾認購投資</w:t>
      </w:r>
      <w:r>
        <w:rPr>
          <w:rFonts w:ascii="Times New Roman" w:eastAsia="標楷體" w:hAnsi="Times New Roman" w:cs="新細明體" w:hint="eastAsia"/>
          <w:bCs/>
          <w:kern w:val="0"/>
          <w:szCs w:val="24"/>
        </w:rPr>
        <w:t>募資</w:t>
      </w:r>
      <w:r w:rsidRPr="00F84721">
        <w:rPr>
          <w:rFonts w:ascii="Times New Roman" w:eastAsia="標楷體" w:hAnsi="Times New Roman" w:cs="新細明體"/>
          <w:bCs/>
          <w:kern w:val="0"/>
          <w:szCs w:val="24"/>
        </w:rPr>
        <w:t>公司</w:t>
      </w:r>
      <w:r w:rsidRPr="005A750E">
        <w:rPr>
          <w:rFonts w:ascii="Times New Roman" w:eastAsia="標楷體" w:hAnsi="Times New Roman" w:cs="新細明體"/>
          <w:bCs/>
          <w:kern w:val="0"/>
          <w:szCs w:val="24"/>
        </w:rPr>
        <w:t>股票之風險係自行負責，且自行辦理股票過戶事宜，對認購投資</w:t>
      </w:r>
      <w:proofErr w:type="gramStart"/>
      <w:r w:rsidRPr="005A750E">
        <w:rPr>
          <w:rFonts w:ascii="Times New Roman" w:eastAsia="標楷體" w:hAnsi="Times New Roman" w:cs="新細明體"/>
          <w:bCs/>
          <w:kern w:val="0"/>
          <w:szCs w:val="24"/>
        </w:rPr>
        <w:t>上述</w:t>
      </w:r>
      <w:r>
        <w:rPr>
          <w:rFonts w:ascii="Times New Roman" w:eastAsia="標楷體" w:hAnsi="Times New Roman" w:cs="新細明體" w:hint="eastAsia"/>
          <w:bCs/>
          <w:kern w:val="0"/>
          <w:szCs w:val="24"/>
        </w:rPr>
        <w:t>募</w:t>
      </w:r>
      <w:proofErr w:type="gramEnd"/>
      <w:r>
        <w:rPr>
          <w:rFonts w:ascii="Times New Roman" w:eastAsia="標楷體" w:hAnsi="Times New Roman" w:cs="新細明體" w:hint="eastAsia"/>
          <w:bCs/>
          <w:kern w:val="0"/>
          <w:szCs w:val="24"/>
        </w:rPr>
        <w:t>資</w:t>
      </w:r>
      <w:r w:rsidRPr="00F84721">
        <w:rPr>
          <w:rFonts w:ascii="Times New Roman" w:eastAsia="標楷體" w:hAnsi="Times New Roman" w:cs="新細明體"/>
          <w:bCs/>
          <w:kern w:val="0"/>
          <w:szCs w:val="24"/>
        </w:rPr>
        <w:t>公司</w:t>
      </w:r>
      <w:r w:rsidRPr="005A750E">
        <w:rPr>
          <w:rFonts w:ascii="Times New Roman" w:eastAsia="標楷體" w:hAnsi="Times New Roman" w:cs="新細明體"/>
          <w:bCs/>
          <w:kern w:val="0"/>
          <w:szCs w:val="24"/>
        </w:rPr>
        <w:t>股票之各類風險業已充分明瞭，特此聲明。</w:t>
      </w:r>
    </w:p>
    <w:p w:rsidR="005A750E" w:rsidRDefault="005A750E" w:rsidP="005A750E">
      <w:pPr>
        <w:widowControl/>
        <w:spacing w:before="100" w:beforeAutospacing="1" w:after="100" w:afterAutospacing="1"/>
        <w:outlineLvl w:val="1"/>
        <w:rPr>
          <w:rFonts w:ascii="Times New Roman" w:eastAsia="標楷體" w:hAnsi="Times New Roman" w:cs="新細明體"/>
          <w:bCs/>
          <w:kern w:val="0"/>
          <w:szCs w:val="24"/>
        </w:rPr>
      </w:pPr>
      <w:r w:rsidRPr="005A750E">
        <w:rPr>
          <w:rFonts w:ascii="Times New Roman" w:eastAsia="標楷體" w:hAnsi="Times New Roman" w:cs="新細明體"/>
          <w:bCs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15pt;height:13.75pt" o:ole="">
            <v:imagedata r:id="rId8" o:title=""/>
          </v:shape>
          <w:control r:id="rId9" w:name="HTMLCheckbox1" w:shapeid="_x0000_i1026"/>
        </w:object>
      </w:r>
      <w:r w:rsidRPr="005A750E">
        <w:rPr>
          <w:rFonts w:ascii="Times New Roman" w:eastAsia="標楷體" w:hAnsi="Times New Roman" w:cs="新細明體"/>
          <w:bCs/>
          <w:kern w:val="0"/>
          <w:szCs w:val="24"/>
        </w:rPr>
        <w:t>確認同意</w:t>
      </w:r>
    </w:p>
    <w:sectPr w:rsidR="005A750E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05" w:rsidRDefault="00975805" w:rsidP="00975805">
      <w:r>
        <w:separator/>
      </w:r>
    </w:p>
  </w:endnote>
  <w:endnote w:type="continuationSeparator" w:id="0">
    <w:p w:rsidR="00975805" w:rsidRDefault="00975805" w:rsidP="009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05" w:rsidRDefault="00975805" w:rsidP="00975805">
      <w:r>
        <w:separator/>
      </w:r>
    </w:p>
  </w:footnote>
  <w:footnote w:type="continuationSeparator" w:id="0">
    <w:p w:rsidR="00975805" w:rsidRDefault="00975805" w:rsidP="0097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05" w:rsidRPr="00975805" w:rsidRDefault="00975805">
    <w:pPr>
      <w:pStyle w:val="a5"/>
      <w:rPr>
        <w:rFonts w:ascii="標楷體" w:eastAsia="標楷體" w:hAnsi="標楷體"/>
        <w:sz w:val="24"/>
        <w:szCs w:val="24"/>
      </w:rPr>
    </w:pPr>
    <w:r w:rsidRPr="00975805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A3"/>
    <w:multiLevelType w:val="hybridMultilevel"/>
    <w:tmpl w:val="F84E81B6"/>
    <w:lvl w:ilvl="0" w:tplc="BAB8B2CC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8FC159E"/>
    <w:multiLevelType w:val="hybridMultilevel"/>
    <w:tmpl w:val="6492BDC0"/>
    <w:lvl w:ilvl="0" w:tplc="19FEAC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68"/>
    <w:rsid w:val="00417E41"/>
    <w:rsid w:val="0048193B"/>
    <w:rsid w:val="00512C0F"/>
    <w:rsid w:val="005A750E"/>
    <w:rsid w:val="00756A15"/>
    <w:rsid w:val="007618A1"/>
    <w:rsid w:val="00896B68"/>
    <w:rsid w:val="00975805"/>
    <w:rsid w:val="00E70603"/>
    <w:rsid w:val="00EC3A32"/>
    <w:rsid w:val="00EC3B89"/>
    <w:rsid w:val="00EE04EC"/>
    <w:rsid w:val="00F71F03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6B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6B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6B6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8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618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8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618A1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417E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8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8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5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6B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6B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6B6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8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618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8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618A1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417E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8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8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5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韓欣穎</dc:creator>
  <cp:lastModifiedBy>李世欽</cp:lastModifiedBy>
  <cp:revision>6</cp:revision>
  <cp:lastPrinted>2015-01-22T06:03:00Z</cp:lastPrinted>
  <dcterms:created xsi:type="dcterms:W3CDTF">2015-01-15T10:08:00Z</dcterms:created>
  <dcterms:modified xsi:type="dcterms:W3CDTF">2015-04-21T00:57:00Z</dcterms:modified>
</cp:coreProperties>
</file>