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0"/>
        <w:gridCol w:w="2304"/>
        <w:gridCol w:w="7796"/>
        <w:gridCol w:w="3119"/>
      </w:tblGrid>
      <w:tr w:rsidR="002304B1" w:rsidRPr="00F9157A" w:rsidTr="00D549EB">
        <w:trPr>
          <w:trHeight w:val="560"/>
          <w:tblHeader/>
        </w:trPr>
        <w:tc>
          <w:tcPr>
            <w:tcW w:w="1410" w:type="dxa"/>
            <w:vAlign w:val="center"/>
          </w:tcPr>
          <w:p w:rsidR="002304B1" w:rsidRPr="00F9157A" w:rsidRDefault="002304B1" w:rsidP="00025DC8">
            <w:pPr>
              <w:spacing w:line="400" w:lineRule="exact"/>
              <w:jc w:val="center"/>
              <w:rPr>
                <w:spacing w:val="10"/>
              </w:rPr>
            </w:pPr>
            <w:r w:rsidRPr="00F9157A">
              <w:rPr>
                <w:rFonts w:hint="eastAsia"/>
                <w:spacing w:val="10"/>
              </w:rPr>
              <w:t>編</w:t>
            </w:r>
            <w:r w:rsidRPr="00F9157A">
              <w:rPr>
                <w:spacing w:val="10"/>
              </w:rPr>
              <w:t xml:space="preserve">  </w:t>
            </w:r>
            <w:r w:rsidRPr="00F9157A">
              <w:rPr>
                <w:rFonts w:hint="eastAsia"/>
                <w:spacing w:val="10"/>
              </w:rPr>
              <w:t>號</w:t>
            </w:r>
          </w:p>
        </w:tc>
        <w:tc>
          <w:tcPr>
            <w:tcW w:w="2304" w:type="dxa"/>
            <w:vAlign w:val="center"/>
          </w:tcPr>
          <w:p w:rsidR="002304B1" w:rsidRPr="00F9157A" w:rsidRDefault="002304B1" w:rsidP="00025DC8">
            <w:pPr>
              <w:spacing w:line="400" w:lineRule="exact"/>
              <w:jc w:val="center"/>
              <w:rPr>
                <w:spacing w:val="10"/>
              </w:rPr>
            </w:pPr>
            <w:r w:rsidRPr="00F9157A">
              <w:rPr>
                <w:rFonts w:hint="eastAsia"/>
                <w:spacing w:val="10"/>
              </w:rPr>
              <w:t>作</w:t>
            </w:r>
            <w:r w:rsidRPr="00F9157A">
              <w:rPr>
                <w:spacing w:val="10"/>
              </w:rPr>
              <w:t xml:space="preserve">  </w:t>
            </w:r>
            <w:r w:rsidRPr="00F9157A">
              <w:rPr>
                <w:rFonts w:hint="eastAsia"/>
                <w:spacing w:val="10"/>
              </w:rPr>
              <w:t>業</w:t>
            </w:r>
            <w:r w:rsidRPr="00F9157A">
              <w:rPr>
                <w:spacing w:val="10"/>
              </w:rPr>
              <w:t xml:space="preserve">  </w:t>
            </w:r>
            <w:r w:rsidRPr="00F9157A">
              <w:rPr>
                <w:rFonts w:hint="eastAsia"/>
                <w:spacing w:val="10"/>
              </w:rPr>
              <w:t>項</w:t>
            </w:r>
            <w:r w:rsidRPr="00F9157A">
              <w:rPr>
                <w:spacing w:val="10"/>
              </w:rPr>
              <w:t xml:space="preserve">  </w:t>
            </w:r>
            <w:r w:rsidRPr="00F9157A">
              <w:rPr>
                <w:rFonts w:hint="eastAsia"/>
                <w:spacing w:val="10"/>
              </w:rPr>
              <w:t>目</w:t>
            </w:r>
          </w:p>
        </w:tc>
        <w:tc>
          <w:tcPr>
            <w:tcW w:w="7796" w:type="dxa"/>
            <w:vAlign w:val="center"/>
          </w:tcPr>
          <w:p w:rsidR="002304B1" w:rsidRPr="00C80B9D" w:rsidRDefault="002304B1" w:rsidP="00F426EB">
            <w:pPr>
              <w:ind w:rightChars="47" w:right="113"/>
              <w:jc w:val="center"/>
            </w:pPr>
            <w:r w:rsidRPr="00C80B9D">
              <w:rPr>
                <w:rFonts w:hint="eastAsia"/>
              </w:rPr>
              <w:t>作</w:t>
            </w:r>
            <w:r w:rsidRPr="00C80B9D">
              <w:t xml:space="preserve">  </w:t>
            </w:r>
            <w:r w:rsidRPr="00C80B9D">
              <w:rPr>
                <w:rFonts w:hint="eastAsia"/>
              </w:rPr>
              <w:t>業</w:t>
            </w:r>
            <w:r w:rsidRPr="00C80B9D">
              <w:t xml:space="preserve">  </w:t>
            </w:r>
            <w:r w:rsidRPr="00C80B9D">
              <w:rPr>
                <w:rFonts w:hint="eastAsia"/>
              </w:rPr>
              <w:t>程</w:t>
            </w:r>
            <w:r w:rsidRPr="00C80B9D">
              <w:t xml:space="preserve">  </w:t>
            </w:r>
            <w:r w:rsidRPr="00C80B9D">
              <w:rPr>
                <w:rFonts w:hint="eastAsia"/>
              </w:rPr>
              <w:t>序</w:t>
            </w:r>
            <w:r w:rsidRPr="00C80B9D">
              <w:t xml:space="preserve">  </w:t>
            </w:r>
            <w:r w:rsidRPr="00C80B9D">
              <w:rPr>
                <w:rFonts w:hint="eastAsia"/>
              </w:rPr>
              <w:t>及</w:t>
            </w:r>
            <w:r w:rsidRPr="00C80B9D">
              <w:t xml:space="preserve">  </w:t>
            </w:r>
            <w:r w:rsidRPr="00C80B9D">
              <w:rPr>
                <w:rFonts w:hint="eastAsia"/>
              </w:rPr>
              <w:t>控</w:t>
            </w:r>
            <w:r w:rsidRPr="00C80B9D">
              <w:t xml:space="preserve">  </w:t>
            </w:r>
            <w:r w:rsidRPr="00C80B9D">
              <w:rPr>
                <w:rFonts w:hint="eastAsia"/>
              </w:rPr>
              <w:t>制</w:t>
            </w:r>
            <w:r w:rsidRPr="00C80B9D">
              <w:t xml:space="preserve">  </w:t>
            </w:r>
            <w:r w:rsidRPr="00C80B9D">
              <w:rPr>
                <w:rFonts w:hint="eastAsia"/>
              </w:rPr>
              <w:t>重</w:t>
            </w:r>
            <w:r w:rsidRPr="00C80B9D">
              <w:t xml:space="preserve">  </w:t>
            </w:r>
            <w:r w:rsidRPr="00C80B9D">
              <w:rPr>
                <w:rFonts w:hint="eastAsia"/>
              </w:rPr>
              <w:t>點</w:t>
            </w:r>
          </w:p>
        </w:tc>
        <w:tc>
          <w:tcPr>
            <w:tcW w:w="3119" w:type="dxa"/>
            <w:vAlign w:val="center"/>
          </w:tcPr>
          <w:p w:rsidR="002304B1" w:rsidRDefault="002304B1" w:rsidP="00F426EB">
            <w:pPr>
              <w:tabs>
                <w:tab w:val="left" w:pos="719"/>
                <w:tab w:val="left" w:pos="1259"/>
                <w:tab w:val="left" w:pos="1439"/>
              </w:tabs>
              <w:ind w:rightChars="47" w:right="113" w:hanging="1"/>
              <w:jc w:val="center"/>
            </w:pPr>
            <w:r>
              <w:rPr>
                <w:rFonts w:hint="eastAsia"/>
              </w:rPr>
              <w:t>依</w:t>
            </w:r>
            <w:r>
              <w:t xml:space="preserve">  </w:t>
            </w:r>
            <w:r>
              <w:rPr>
                <w:rFonts w:hint="eastAsia"/>
              </w:rPr>
              <w:t>據</w:t>
            </w:r>
            <w:r>
              <w:t xml:space="preserve">  </w:t>
            </w:r>
            <w:r>
              <w:rPr>
                <w:rFonts w:hint="eastAsia"/>
              </w:rPr>
              <w:t>資</w:t>
            </w:r>
            <w:r>
              <w:t xml:space="preserve">  </w:t>
            </w:r>
            <w:r>
              <w:rPr>
                <w:rFonts w:hint="eastAsia"/>
              </w:rPr>
              <w:t>料</w:t>
            </w:r>
          </w:p>
        </w:tc>
      </w:tr>
      <w:tr w:rsidR="00C61EC7" w:rsidRPr="00F9157A" w:rsidTr="00D549EB">
        <w:trPr>
          <w:trHeight w:val="1533"/>
        </w:trPr>
        <w:tc>
          <w:tcPr>
            <w:tcW w:w="1410" w:type="dxa"/>
          </w:tcPr>
          <w:p w:rsidR="00C61EC7" w:rsidRPr="00F9157A" w:rsidRDefault="00C61EC7" w:rsidP="00CC49FA">
            <w:pPr>
              <w:spacing w:line="400" w:lineRule="exact"/>
              <w:jc w:val="center"/>
              <w:rPr>
                <w:rFonts w:ascii="新細明體"/>
                <w:color w:val="000000"/>
                <w:spacing w:val="10"/>
              </w:rPr>
            </w:pPr>
            <w:r w:rsidRPr="00083B32">
              <w:rPr>
                <w:rFonts w:ascii="新細明體" w:hAnsi="新細明體"/>
                <w:color w:val="000000"/>
                <w:spacing w:val="10"/>
              </w:rPr>
              <w:t>CA-19C10</w:t>
            </w: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r w:rsidRPr="00F9157A">
              <w:rPr>
                <w:rFonts w:ascii="新細明體" w:hAnsi="新細明體"/>
                <w:color w:val="000000"/>
                <w:spacing w:val="10"/>
              </w:rPr>
              <w:lastRenderedPageBreak/>
              <w:t>CA-19</w:t>
            </w:r>
            <w:r>
              <w:rPr>
                <w:rFonts w:ascii="新細明體" w:hAnsi="新細明體" w:hint="eastAsia"/>
                <w:color w:val="000000"/>
                <w:spacing w:val="10"/>
              </w:rPr>
              <w:t>C</w:t>
            </w:r>
            <w:r w:rsidRPr="00F9157A">
              <w:rPr>
                <w:rFonts w:ascii="新細明體" w:hAnsi="新細明體"/>
                <w:color w:val="000000"/>
                <w:spacing w:val="10"/>
              </w:rPr>
              <w:t>10</w:t>
            </w: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r w:rsidRPr="00F9157A">
              <w:rPr>
                <w:rFonts w:ascii="新細明體" w:hAnsi="新細明體"/>
                <w:color w:val="000000"/>
                <w:spacing w:val="10"/>
              </w:rPr>
              <w:lastRenderedPageBreak/>
              <w:t>CA-19</w:t>
            </w:r>
            <w:r>
              <w:rPr>
                <w:rFonts w:ascii="新細明體" w:hAnsi="新細明體" w:hint="eastAsia"/>
                <w:color w:val="000000"/>
                <w:spacing w:val="10"/>
              </w:rPr>
              <w:t>C</w:t>
            </w:r>
            <w:r w:rsidRPr="00F9157A">
              <w:rPr>
                <w:rFonts w:ascii="新細明體" w:hAnsi="新細明體"/>
                <w:color w:val="000000"/>
                <w:spacing w:val="10"/>
              </w:rPr>
              <w:t>10</w:t>
            </w: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r>
              <w:rPr>
                <w:rFonts w:ascii="新細明體" w:hAnsi="新細明體"/>
                <w:color w:val="000000"/>
                <w:spacing w:val="10"/>
              </w:rPr>
              <w:lastRenderedPageBreak/>
              <w:t>CA-19</w:t>
            </w:r>
            <w:r>
              <w:rPr>
                <w:rFonts w:ascii="新細明體" w:hAnsi="新細明體" w:hint="eastAsia"/>
                <w:color w:val="000000"/>
                <w:spacing w:val="10"/>
              </w:rPr>
              <w:t>C</w:t>
            </w:r>
            <w:r w:rsidRPr="00F9157A">
              <w:rPr>
                <w:rFonts w:ascii="新細明體" w:hAnsi="新細明體"/>
                <w:color w:val="000000"/>
                <w:spacing w:val="10"/>
              </w:rPr>
              <w:t>10</w:t>
            </w: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D549EB">
            <w:pPr>
              <w:spacing w:line="400" w:lineRule="exact"/>
              <w:jc w:val="center"/>
              <w:rPr>
                <w:rFonts w:ascii="新細明體"/>
                <w:color w:val="000000"/>
                <w:spacing w:val="10"/>
              </w:rPr>
            </w:pPr>
            <w:r w:rsidRPr="00F9157A">
              <w:rPr>
                <w:rFonts w:ascii="新細明體" w:hAnsi="新細明體"/>
                <w:color w:val="000000"/>
                <w:spacing w:val="10"/>
              </w:rPr>
              <w:t>CA-19</w:t>
            </w:r>
            <w:r>
              <w:rPr>
                <w:rFonts w:ascii="新細明體" w:hAnsi="新細明體" w:hint="eastAsia"/>
                <w:color w:val="000000"/>
                <w:spacing w:val="10"/>
              </w:rPr>
              <w:t>C</w:t>
            </w:r>
            <w:r w:rsidRPr="00F9157A">
              <w:rPr>
                <w:rFonts w:ascii="新細明體" w:hAnsi="新細明體"/>
                <w:color w:val="000000"/>
                <w:spacing w:val="10"/>
              </w:rPr>
              <w:t>10</w:t>
            </w: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Pr="00F9157A" w:rsidRDefault="00C61EC7" w:rsidP="00CC49FA">
            <w:pPr>
              <w:spacing w:line="400" w:lineRule="exact"/>
              <w:jc w:val="center"/>
              <w:rPr>
                <w:rFonts w:ascii="新細明體"/>
                <w:color w:val="000000"/>
                <w:spacing w:val="10"/>
              </w:rPr>
            </w:pPr>
          </w:p>
          <w:p w:rsidR="00C61EC7" w:rsidRDefault="00C61EC7"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r w:rsidRPr="00F9157A">
              <w:rPr>
                <w:rFonts w:ascii="新細明體" w:hAnsi="新細明體"/>
                <w:color w:val="000000"/>
                <w:spacing w:val="10"/>
              </w:rPr>
              <w:t>CA-19</w:t>
            </w:r>
            <w:r>
              <w:rPr>
                <w:rFonts w:ascii="新細明體" w:hAnsi="新細明體" w:hint="eastAsia"/>
                <w:color w:val="000000"/>
                <w:spacing w:val="10"/>
              </w:rPr>
              <w:t>C</w:t>
            </w:r>
            <w:r w:rsidRPr="00F9157A">
              <w:rPr>
                <w:rFonts w:ascii="新細明體" w:hAnsi="新細明體"/>
                <w:color w:val="000000"/>
                <w:spacing w:val="10"/>
              </w:rPr>
              <w:t>10</w:t>
            </w: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Default="00AB0C6D" w:rsidP="00CC49FA">
            <w:pPr>
              <w:spacing w:line="400" w:lineRule="exact"/>
              <w:jc w:val="center"/>
              <w:rPr>
                <w:rFonts w:ascii="新細明體"/>
                <w:color w:val="000000"/>
                <w:spacing w:val="10"/>
              </w:rPr>
            </w:pPr>
          </w:p>
          <w:p w:rsidR="00AB0C6D" w:rsidRPr="00F9157A" w:rsidRDefault="00AB0C6D" w:rsidP="00CC49FA">
            <w:pPr>
              <w:spacing w:line="400" w:lineRule="exact"/>
              <w:jc w:val="center"/>
              <w:rPr>
                <w:rFonts w:ascii="新細明體"/>
                <w:color w:val="000000"/>
                <w:spacing w:val="10"/>
              </w:rPr>
            </w:pPr>
          </w:p>
          <w:p w:rsidR="00C61EC7" w:rsidRPr="00F9157A" w:rsidRDefault="00C61EC7" w:rsidP="00C61EC7">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CC49FA">
            <w:pPr>
              <w:spacing w:line="400" w:lineRule="exact"/>
              <w:rPr>
                <w:rFonts w:ascii="新細明體"/>
                <w:color w:val="000000"/>
                <w:spacing w:val="10"/>
              </w:rPr>
            </w:pPr>
          </w:p>
          <w:p w:rsidR="00AB0C6D" w:rsidRDefault="00AB0C6D" w:rsidP="00AB0C6D">
            <w:pPr>
              <w:spacing w:line="400" w:lineRule="exact"/>
              <w:jc w:val="center"/>
              <w:rPr>
                <w:rFonts w:ascii="新細明體"/>
                <w:color w:val="000000"/>
                <w:spacing w:val="10"/>
              </w:rPr>
            </w:pPr>
            <w:r w:rsidRPr="00F9157A">
              <w:rPr>
                <w:rFonts w:ascii="新細明體" w:hAnsi="新細明體"/>
                <w:color w:val="000000"/>
                <w:spacing w:val="10"/>
              </w:rPr>
              <w:t>CA-19</w:t>
            </w:r>
            <w:r>
              <w:rPr>
                <w:rFonts w:ascii="新細明體" w:hAnsi="新細明體" w:hint="eastAsia"/>
                <w:color w:val="000000"/>
                <w:spacing w:val="10"/>
              </w:rPr>
              <w:t>C</w:t>
            </w:r>
            <w:r w:rsidRPr="00F9157A">
              <w:rPr>
                <w:rFonts w:ascii="新細明體" w:hAnsi="新細明體"/>
                <w:color w:val="000000"/>
                <w:spacing w:val="10"/>
              </w:rPr>
              <w:t>10</w:t>
            </w:r>
          </w:p>
          <w:p w:rsidR="00AB0C6D" w:rsidRDefault="00AB0C6D"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D6456">
            <w:pPr>
              <w:spacing w:line="400" w:lineRule="exact"/>
              <w:jc w:val="center"/>
              <w:rPr>
                <w:rFonts w:ascii="新細明體"/>
                <w:color w:val="000000"/>
                <w:spacing w:val="10"/>
              </w:rPr>
            </w:pPr>
            <w:r w:rsidRPr="00F9157A">
              <w:rPr>
                <w:rFonts w:ascii="新細明體" w:hAnsi="新細明體"/>
                <w:color w:val="000000"/>
                <w:spacing w:val="10"/>
              </w:rPr>
              <w:t>CA-19</w:t>
            </w:r>
            <w:r>
              <w:rPr>
                <w:rFonts w:ascii="新細明體" w:hAnsi="新細明體" w:hint="eastAsia"/>
                <w:color w:val="000000"/>
                <w:spacing w:val="10"/>
              </w:rPr>
              <w:t>C</w:t>
            </w:r>
            <w:r w:rsidRPr="00F9157A">
              <w:rPr>
                <w:rFonts w:ascii="新細明體" w:hAnsi="新細明體"/>
                <w:color w:val="000000"/>
                <w:spacing w:val="10"/>
              </w:rPr>
              <w:t>10</w:t>
            </w: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Default="005D39DA" w:rsidP="00CC49FA">
            <w:pPr>
              <w:spacing w:line="400" w:lineRule="exact"/>
              <w:rPr>
                <w:rFonts w:ascii="新細明體"/>
                <w:color w:val="000000"/>
                <w:spacing w:val="10"/>
              </w:rPr>
            </w:pPr>
          </w:p>
          <w:p w:rsidR="005D39DA" w:rsidRPr="00F9157A" w:rsidRDefault="005D39DA" w:rsidP="00CC49FA">
            <w:pPr>
              <w:spacing w:line="400" w:lineRule="exact"/>
              <w:rPr>
                <w:rFonts w:ascii="新細明體"/>
                <w:color w:val="000000"/>
                <w:spacing w:val="10"/>
              </w:rPr>
            </w:pPr>
          </w:p>
        </w:tc>
        <w:tc>
          <w:tcPr>
            <w:tcW w:w="2304" w:type="dxa"/>
          </w:tcPr>
          <w:p w:rsidR="00C61EC7" w:rsidRPr="007E2B43" w:rsidRDefault="00C61EC7" w:rsidP="00CC49FA">
            <w:pPr>
              <w:spacing w:line="400" w:lineRule="exact"/>
              <w:rPr>
                <w:rFonts w:ascii="新細明體"/>
                <w:color w:val="000000"/>
                <w:spacing w:val="10"/>
              </w:rPr>
            </w:pPr>
            <w:r>
              <w:rPr>
                <w:rFonts w:ascii="新細明體" w:hAnsi="新細明體" w:hint="eastAsia"/>
                <w:color w:val="000000"/>
                <w:spacing w:val="10"/>
              </w:rPr>
              <w:lastRenderedPageBreak/>
              <w:t>經營股權性質群眾募資業務</w:t>
            </w:r>
          </w:p>
          <w:p w:rsidR="00C61EC7" w:rsidRPr="007E2B43" w:rsidRDefault="00C61EC7" w:rsidP="00CC49FA">
            <w:pPr>
              <w:spacing w:line="400" w:lineRule="exact"/>
              <w:rPr>
                <w:rFonts w:ascii="新細明體"/>
                <w:color w:val="000000"/>
                <w:spacing w:val="10"/>
              </w:rPr>
            </w:pPr>
          </w:p>
          <w:p w:rsidR="00C61EC7" w:rsidRPr="007E2B43"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Pr="007E2B43" w:rsidRDefault="00C61EC7" w:rsidP="00CC49FA">
            <w:pPr>
              <w:spacing w:line="400" w:lineRule="exact"/>
              <w:rPr>
                <w:rFonts w:ascii="新細明體"/>
                <w:color w:val="000000"/>
                <w:spacing w:val="10"/>
              </w:rPr>
            </w:pPr>
          </w:p>
          <w:p w:rsidR="00C61EC7" w:rsidRPr="007E2B43" w:rsidRDefault="00C61EC7" w:rsidP="00CC49FA">
            <w:pPr>
              <w:spacing w:line="400" w:lineRule="exact"/>
              <w:rPr>
                <w:rFonts w:ascii="新細明體"/>
                <w:color w:val="000000"/>
                <w:spacing w:val="10"/>
              </w:rPr>
            </w:pPr>
          </w:p>
          <w:p w:rsidR="00C61EC7" w:rsidRPr="007E2B43" w:rsidRDefault="00C61EC7" w:rsidP="00CC49FA">
            <w:pPr>
              <w:spacing w:line="400" w:lineRule="exact"/>
              <w:rPr>
                <w:rFonts w:ascii="新細明體"/>
                <w:color w:val="000000"/>
                <w:spacing w:val="10"/>
              </w:rPr>
            </w:pPr>
          </w:p>
          <w:p w:rsidR="00C61EC7" w:rsidRPr="007E2B43" w:rsidRDefault="00C61EC7" w:rsidP="00CC49FA">
            <w:pPr>
              <w:spacing w:line="400" w:lineRule="exact"/>
              <w:rPr>
                <w:rFonts w:ascii="新細明體"/>
                <w:color w:val="000000"/>
                <w:spacing w:val="10"/>
              </w:rPr>
            </w:pPr>
          </w:p>
          <w:p w:rsidR="00C61EC7" w:rsidRPr="007E2B43" w:rsidRDefault="00C61EC7" w:rsidP="00CC49FA">
            <w:pPr>
              <w:spacing w:line="400" w:lineRule="exact"/>
              <w:rPr>
                <w:rFonts w:ascii="新細明體"/>
                <w:color w:val="000000"/>
                <w:spacing w:val="10"/>
              </w:rPr>
            </w:pPr>
          </w:p>
          <w:p w:rsidR="00C61EC7" w:rsidRPr="007E2B43" w:rsidRDefault="00C61EC7" w:rsidP="00CC49FA">
            <w:pPr>
              <w:spacing w:line="400" w:lineRule="exact"/>
              <w:rPr>
                <w:rFonts w:ascii="新細明體"/>
                <w:color w:val="000000"/>
                <w:spacing w:val="10"/>
              </w:rPr>
            </w:pPr>
          </w:p>
          <w:p w:rsidR="00C61EC7" w:rsidRPr="007E2B43" w:rsidRDefault="00C61EC7" w:rsidP="00CC49FA">
            <w:pPr>
              <w:spacing w:line="400" w:lineRule="exact"/>
              <w:rPr>
                <w:rFonts w:ascii="新細明體"/>
                <w:color w:val="000000"/>
                <w:spacing w:val="10"/>
              </w:rPr>
            </w:pPr>
          </w:p>
          <w:p w:rsidR="00C61EC7" w:rsidRPr="007E2B43" w:rsidRDefault="00C61EC7" w:rsidP="00C61EC7">
            <w:pPr>
              <w:spacing w:line="400" w:lineRule="exact"/>
              <w:rPr>
                <w:rFonts w:ascii="新細明體"/>
                <w:color w:val="000000"/>
                <w:spacing w:val="10"/>
              </w:rPr>
            </w:pPr>
            <w:r>
              <w:rPr>
                <w:rFonts w:ascii="新細明體" w:hAnsi="新細明體" w:hint="eastAsia"/>
                <w:color w:val="000000"/>
                <w:spacing w:val="10"/>
              </w:rPr>
              <w:lastRenderedPageBreak/>
              <w:t>經營股權性質群眾募資業務</w:t>
            </w:r>
          </w:p>
          <w:p w:rsidR="00C61EC7" w:rsidRP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Pr="007E2B43" w:rsidRDefault="00C61EC7" w:rsidP="00C61EC7">
            <w:pPr>
              <w:spacing w:line="400" w:lineRule="exact"/>
              <w:rPr>
                <w:rFonts w:ascii="新細明體"/>
                <w:color w:val="000000"/>
                <w:spacing w:val="10"/>
              </w:rPr>
            </w:pPr>
            <w:r>
              <w:rPr>
                <w:rFonts w:ascii="新細明體" w:hAnsi="新細明體" w:hint="eastAsia"/>
                <w:color w:val="000000"/>
                <w:spacing w:val="10"/>
              </w:rPr>
              <w:lastRenderedPageBreak/>
              <w:t>經營股權性質群眾募資業務</w:t>
            </w: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P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Pr="007E2B43" w:rsidRDefault="00C61EC7" w:rsidP="00C61EC7">
            <w:pPr>
              <w:spacing w:line="400" w:lineRule="exact"/>
              <w:rPr>
                <w:rFonts w:ascii="新細明體"/>
                <w:color w:val="000000"/>
                <w:spacing w:val="10"/>
              </w:rPr>
            </w:pPr>
            <w:r>
              <w:rPr>
                <w:rFonts w:ascii="新細明體" w:hAnsi="新細明體" w:hint="eastAsia"/>
                <w:color w:val="000000"/>
                <w:spacing w:val="10"/>
              </w:rPr>
              <w:lastRenderedPageBreak/>
              <w:t>經營股權性質群眾募資業務</w:t>
            </w: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r>
              <w:rPr>
                <w:rFonts w:ascii="新細明體" w:hAnsi="新細明體" w:hint="eastAsia"/>
                <w:color w:val="000000"/>
                <w:spacing w:val="10"/>
              </w:rPr>
              <w:t>經營股權性質群眾募資業務</w:t>
            </w: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Pr="007E2B43" w:rsidRDefault="00C61EC7" w:rsidP="00C61EC7">
            <w:pPr>
              <w:spacing w:line="400" w:lineRule="exact"/>
              <w:rPr>
                <w:rFonts w:ascii="新細明體"/>
                <w:color w:val="000000"/>
                <w:spacing w:val="10"/>
              </w:rPr>
            </w:pPr>
          </w:p>
          <w:p w:rsidR="00C61EC7" w:rsidRP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CC49FA">
            <w:pPr>
              <w:spacing w:line="400" w:lineRule="exact"/>
              <w:rPr>
                <w:rFonts w:ascii="新細明體"/>
                <w:color w:val="000000"/>
                <w:spacing w:val="10"/>
              </w:rPr>
            </w:pPr>
          </w:p>
          <w:p w:rsidR="00C61EC7" w:rsidRDefault="00C61EC7" w:rsidP="00272912">
            <w:pPr>
              <w:spacing w:line="400" w:lineRule="exact"/>
              <w:rPr>
                <w:rFonts w:ascii="新細明體"/>
                <w:color w:val="000000"/>
                <w:spacing w:val="10"/>
              </w:rPr>
            </w:pPr>
          </w:p>
          <w:p w:rsidR="00AB0C6D" w:rsidRDefault="00AB0C6D" w:rsidP="00272912">
            <w:pPr>
              <w:spacing w:line="400" w:lineRule="exact"/>
              <w:rPr>
                <w:rFonts w:ascii="新細明體" w:hAnsi="新細明體"/>
                <w:color w:val="000000"/>
                <w:spacing w:val="10"/>
              </w:rPr>
            </w:pPr>
            <w:r>
              <w:rPr>
                <w:rFonts w:ascii="新細明體" w:hAnsi="新細明體" w:hint="eastAsia"/>
                <w:color w:val="000000"/>
                <w:spacing w:val="10"/>
              </w:rPr>
              <w:t>經營股權性質群眾募資業務</w:t>
            </w: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r>
              <w:rPr>
                <w:rFonts w:ascii="新細明體" w:hAnsi="新細明體" w:hint="eastAsia"/>
                <w:color w:val="000000"/>
                <w:spacing w:val="10"/>
              </w:rPr>
              <w:t>經營股權性質群眾募資業務</w:t>
            </w: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hAnsi="新細明體"/>
                <w:color w:val="000000"/>
                <w:spacing w:val="10"/>
              </w:rPr>
            </w:pPr>
          </w:p>
          <w:p w:rsidR="00AB0C6D" w:rsidRDefault="00AB0C6D"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p>
          <w:p w:rsidR="00CD6456" w:rsidRDefault="00CD6456" w:rsidP="00272912">
            <w:pPr>
              <w:spacing w:line="400" w:lineRule="exact"/>
              <w:rPr>
                <w:rFonts w:ascii="新細明體"/>
                <w:color w:val="000000"/>
                <w:spacing w:val="10"/>
              </w:rPr>
            </w:pPr>
            <w:r>
              <w:rPr>
                <w:rFonts w:ascii="新細明體" w:hAnsi="新細明體" w:hint="eastAsia"/>
                <w:color w:val="000000"/>
                <w:spacing w:val="10"/>
              </w:rPr>
              <w:t>經營股權性質群眾募資業務</w:t>
            </w:r>
          </w:p>
          <w:p w:rsidR="00CD6456" w:rsidRDefault="00CD6456" w:rsidP="00272912">
            <w:pPr>
              <w:spacing w:line="400" w:lineRule="exact"/>
              <w:rPr>
                <w:rFonts w:ascii="新細明體"/>
                <w:color w:val="000000"/>
                <w:spacing w:val="10"/>
              </w:rPr>
            </w:pPr>
          </w:p>
          <w:p w:rsidR="00CD6456" w:rsidRPr="00C61EC7" w:rsidRDefault="00CD6456" w:rsidP="00272912">
            <w:pPr>
              <w:spacing w:line="400" w:lineRule="exact"/>
              <w:rPr>
                <w:rFonts w:ascii="新細明體"/>
                <w:color w:val="000000"/>
                <w:spacing w:val="10"/>
              </w:rPr>
            </w:pPr>
          </w:p>
        </w:tc>
        <w:tc>
          <w:tcPr>
            <w:tcW w:w="7796" w:type="dxa"/>
          </w:tcPr>
          <w:p w:rsidR="00C61EC7" w:rsidRPr="00C80B9D" w:rsidRDefault="00C61EC7" w:rsidP="00EA5338">
            <w:pPr>
              <w:pStyle w:val="ab"/>
              <w:numPr>
                <w:ilvl w:val="1"/>
                <w:numId w:val="2"/>
              </w:numPr>
              <w:tabs>
                <w:tab w:val="left" w:pos="527"/>
              </w:tabs>
              <w:spacing w:line="400" w:lineRule="exact"/>
              <w:ind w:leftChars="0" w:rightChars="47" w:right="113" w:hanging="1123"/>
              <w:jc w:val="both"/>
              <w:rPr>
                <w:rFonts w:ascii="新細明體" w:cs="標楷體"/>
                <w:color w:val="000000"/>
                <w:spacing w:val="10"/>
                <w:kern w:val="2"/>
                <w:szCs w:val="24"/>
              </w:rPr>
            </w:pPr>
            <w:r w:rsidRPr="00C80B9D">
              <w:rPr>
                <w:rFonts w:ascii="新細明體" w:cs="標楷體" w:hint="eastAsia"/>
                <w:color w:val="000000"/>
                <w:spacing w:val="10"/>
                <w:kern w:val="2"/>
                <w:szCs w:val="24"/>
              </w:rPr>
              <w:lastRenderedPageBreak/>
              <w:t>設備及營業處所管理作業：</w:t>
            </w:r>
          </w:p>
          <w:p w:rsidR="00C61EC7" w:rsidRPr="00C80B9D" w:rsidRDefault="00C61EC7" w:rsidP="00EA5338">
            <w:pPr>
              <w:pStyle w:val="ab"/>
              <w:numPr>
                <w:ilvl w:val="0"/>
                <w:numId w:val="5"/>
              </w:numPr>
              <w:adjustRightInd/>
              <w:snapToGrid w:val="0"/>
              <w:spacing w:line="400" w:lineRule="exact"/>
              <w:ind w:leftChars="0" w:left="822" w:hanging="567"/>
              <w:jc w:val="both"/>
              <w:textAlignment w:val="auto"/>
              <w:rPr>
                <w:rFonts w:ascii="新細明體" w:hAnsi="新細明體"/>
                <w:color w:val="000000"/>
                <w:spacing w:val="10"/>
              </w:rPr>
            </w:pPr>
            <w:r w:rsidRPr="00C80B9D">
              <w:rPr>
                <w:rFonts w:ascii="新細明體" w:hAnsi="新細明體" w:hint="eastAsia"/>
                <w:color w:val="000000"/>
                <w:spacing w:val="10"/>
              </w:rPr>
              <w:t>公</w:t>
            </w:r>
            <w:r w:rsidRPr="00C80B9D">
              <w:rPr>
                <w:rFonts w:ascii="新細明體" w:hAnsi="新細明體"/>
                <w:color w:val="000000"/>
                <w:spacing w:val="10"/>
              </w:rPr>
              <w:t>司</w:t>
            </w:r>
            <w:r w:rsidRPr="00C80B9D">
              <w:rPr>
                <w:rFonts w:ascii="新細明體" w:hAnsi="新細明體" w:hint="eastAsia"/>
                <w:color w:val="000000"/>
                <w:spacing w:val="10"/>
              </w:rPr>
              <w:t>經營股權性質群眾募資業務應設置網際網路募資平台網站及揭示</w:t>
            </w:r>
            <w:r w:rsidR="00196B3E">
              <w:rPr>
                <w:rFonts w:ascii="新細明體" w:hAnsi="新細明體" w:hint="eastAsia"/>
                <w:color w:val="000000"/>
                <w:spacing w:val="10"/>
              </w:rPr>
              <w:t>募</w:t>
            </w:r>
            <w:r w:rsidR="00152BBC" w:rsidRPr="00C80B9D">
              <w:rPr>
                <w:rFonts w:ascii="新細明體" w:hAnsi="新細明體" w:hint="eastAsia"/>
                <w:color w:val="000000"/>
                <w:spacing w:val="10"/>
              </w:rPr>
              <w:t>資公司</w:t>
            </w:r>
            <w:r w:rsidRPr="00C80B9D">
              <w:rPr>
                <w:rFonts w:ascii="新細明體" w:hAnsi="新細明體" w:hint="eastAsia"/>
                <w:color w:val="000000"/>
                <w:spacing w:val="10"/>
              </w:rPr>
              <w:t>基本資料與相關訊息之資訊揭露系統，同時應建立資訊安全控管機制。</w:t>
            </w:r>
          </w:p>
          <w:p w:rsidR="00C61EC7" w:rsidRPr="00C80B9D" w:rsidRDefault="00C61EC7" w:rsidP="00EA5338">
            <w:pPr>
              <w:pStyle w:val="ab"/>
              <w:numPr>
                <w:ilvl w:val="0"/>
                <w:numId w:val="5"/>
              </w:numPr>
              <w:adjustRightInd/>
              <w:snapToGrid w:val="0"/>
              <w:spacing w:line="400" w:lineRule="exact"/>
              <w:ind w:leftChars="0" w:left="822" w:hanging="567"/>
              <w:jc w:val="both"/>
              <w:textAlignment w:val="auto"/>
              <w:rPr>
                <w:rFonts w:ascii="新細明體" w:hAnsi="新細明體"/>
                <w:color w:val="000000"/>
                <w:spacing w:val="10"/>
              </w:rPr>
            </w:pPr>
            <w:r w:rsidRPr="00C80B9D">
              <w:rPr>
                <w:rFonts w:ascii="新細明體" w:hAnsi="新細明體" w:hint="eastAsia"/>
                <w:color w:val="000000"/>
                <w:spacing w:val="10"/>
              </w:rPr>
              <w:t>公司(</w:t>
            </w:r>
            <w:r w:rsidR="00816789">
              <w:rPr>
                <w:rFonts w:ascii="新細明體" w:hAnsi="新細明體" w:hint="eastAsia"/>
                <w:color w:val="000000"/>
                <w:spacing w:val="10"/>
              </w:rPr>
              <w:t>僅經營股權性質群眾</w:t>
            </w:r>
            <w:r w:rsidR="006402E0">
              <w:rPr>
                <w:rFonts w:ascii="新細明體" w:hAnsi="新細明體" w:hint="eastAsia"/>
                <w:color w:val="000000"/>
                <w:spacing w:val="10"/>
              </w:rPr>
              <w:t>募</w:t>
            </w:r>
            <w:r w:rsidRPr="00C80B9D">
              <w:rPr>
                <w:rFonts w:ascii="新細明體" w:hAnsi="新細明體" w:hint="eastAsia"/>
                <w:color w:val="000000"/>
                <w:spacing w:val="10"/>
              </w:rPr>
              <w:t>資業務者除外)之辦公處所，應與其他部門或業務作明顯之區隔。</w:t>
            </w:r>
          </w:p>
          <w:p w:rsidR="00C61EC7" w:rsidRPr="00C80B9D" w:rsidRDefault="00C61EC7" w:rsidP="00EA5338">
            <w:pPr>
              <w:pStyle w:val="ab"/>
              <w:numPr>
                <w:ilvl w:val="1"/>
                <w:numId w:val="2"/>
              </w:numPr>
              <w:tabs>
                <w:tab w:val="left" w:pos="527"/>
              </w:tabs>
              <w:spacing w:line="400" w:lineRule="exact"/>
              <w:ind w:leftChars="0" w:rightChars="47" w:right="113" w:hanging="1123"/>
              <w:jc w:val="both"/>
              <w:rPr>
                <w:rFonts w:ascii="新細明體" w:cs="標楷體"/>
                <w:color w:val="000000"/>
                <w:spacing w:val="10"/>
                <w:kern w:val="2"/>
                <w:szCs w:val="24"/>
              </w:rPr>
            </w:pPr>
            <w:r w:rsidRPr="00C80B9D">
              <w:rPr>
                <w:rFonts w:ascii="新細明體" w:hAnsi="新細明體" w:cs="標楷體" w:hint="eastAsia"/>
                <w:color w:val="000000"/>
                <w:spacing w:val="10"/>
                <w:kern w:val="2"/>
                <w:szCs w:val="24"/>
              </w:rPr>
              <w:t>人員管理作業：</w:t>
            </w:r>
          </w:p>
          <w:p w:rsidR="00C60C4F" w:rsidRDefault="00C60C4F" w:rsidP="00EA5338">
            <w:pPr>
              <w:pStyle w:val="ab"/>
              <w:numPr>
                <w:ilvl w:val="0"/>
                <w:numId w:val="4"/>
              </w:numPr>
              <w:adjustRightInd/>
              <w:snapToGrid w:val="0"/>
              <w:spacing w:line="400" w:lineRule="exact"/>
              <w:ind w:leftChars="0" w:left="822" w:hanging="567"/>
              <w:jc w:val="both"/>
              <w:textAlignment w:val="auto"/>
              <w:rPr>
                <w:rFonts w:ascii="新細明體" w:hAnsi="新細明體"/>
                <w:color w:val="000000"/>
                <w:spacing w:val="10"/>
              </w:rPr>
            </w:pPr>
            <w:r>
              <w:rPr>
                <w:rFonts w:ascii="新細明體" w:hAnsi="新細明體" w:hint="eastAsia"/>
                <w:color w:val="000000"/>
                <w:spacing w:val="10"/>
              </w:rPr>
              <w:t>公</w:t>
            </w:r>
            <w:r>
              <w:rPr>
                <w:rFonts w:ascii="新細明體" w:hAnsi="新細明體"/>
                <w:color w:val="000000"/>
                <w:spacing w:val="10"/>
              </w:rPr>
              <w:t>司除</w:t>
            </w:r>
            <w:r>
              <w:rPr>
                <w:rFonts w:ascii="新細明體" w:hAnsi="新細明體" w:hint="eastAsia"/>
                <w:color w:val="000000"/>
                <w:spacing w:val="10"/>
              </w:rPr>
              <w:t>法</w:t>
            </w:r>
            <w:r w:rsidR="00714E46">
              <w:rPr>
                <w:rFonts w:ascii="新細明體" w:hAnsi="新細明體"/>
                <w:color w:val="000000"/>
                <w:spacing w:val="10"/>
              </w:rPr>
              <w:t>令另有規定</w:t>
            </w:r>
            <w:r>
              <w:rPr>
                <w:rFonts w:ascii="新細明體" w:hAnsi="新細明體"/>
                <w:color w:val="000000"/>
                <w:spacing w:val="10"/>
              </w:rPr>
              <w:t>外，應設置內部稽核，按月稽核財務</w:t>
            </w:r>
            <w:r>
              <w:rPr>
                <w:rFonts w:ascii="新細明體" w:hAnsi="新細明體" w:hint="eastAsia"/>
                <w:color w:val="000000"/>
                <w:spacing w:val="10"/>
              </w:rPr>
              <w:t>及</w:t>
            </w:r>
            <w:r>
              <w:rPr>
                <w:rFonts w:ascii="新細明體" w:hAnsi="新細明體"/>
                <w:color w:val="000000"/>
                <w:spacing w:val="10"/>
              </w:rPr>
              <w:t>業務，並作成稽核報告，</w:t>
            </w:r>
            <w:r>
              <w:rPr>
                <w:rFonts w:ascii="新細明體" w:hAnsi="新細明體" w:hint="eastAsia"/>
                <w:color w:val="000000"/>
                <w:spacing w:val="10"/>
              </w:rPr>
              <w:t>備</w:t>
            </w:r>
            <w:r>
              <w:rPr>
                <w:rFonts w:ascii="新細明體" w:hAnsi="新細明體"/>
                <w:color w:val="000000"/>
                <w:spacing w:val="10"/>
              </w:rPr>
              <w:t>供查核。</w:t>
            </w:r>
          </w:p>
          <w:p w:rsidR="00976196" w:rsidRPr="008E537B" w:rsidRDefault="00C61EC7" w:rsidP="00EA5338">
            <w:pPr>
              <w:pStyle w:val="ab"/>
              <w:numPr>
                <w:ilvl w:val="0"/>
                <w:numId w:val="4"/>
              </w:numPr>
              <w:adjustRightInd/>
              <w:snapToGrid w:val="0"/>
              <w:spacing w:line="400" w:lineRule="exact"/>
              <w:ind w:leftChars="0" w:left="822" w:hanging="567"/>
              <w:jc w:val="both"/>
              <w:textAlignment w:val="auto"/>
              <w:rPr>
                <w:rFonts w:ascii="新細明體" w:hAnsi="新細明體"/>
                <w:color w:val="000000"/>
                <w:spacing w:val="10"/>
              </w:rPr>
            </w:pPr>
            <w:r w:rsidRPr="00C80B9D">
              <w:rPr>
                <w:rFonts w:ascii="新細明體" w:hAnsi="新細明體" w:hint="eastAsia"/>
                <w:color w:val="000000"/>
                <w:spacing w:val="10"/>
              </w:rPr>
              <w:t>公司</w:t>
            </w:r>
            <w:r w:rsidR="00581780" w:rsidRPr="00981C8D">
              <w:rPr>
                <w:rFonts w:ascii="新細明體" w:hAnsi="新細明體" w:hint="eastAsia"/>
                <w:color w:val="000000"/>
                <w:spacing w:val="10"/>
              </w:rPr>
              <w:t>執</w:t>
            </w:r>
            <w:r w:rsidR="00581780" w:rsidRPr="00981C8D">
              <w:rPr>
                <w:rFonts w:ascii="新細明體" w:hAnsi="新細明體"/>
                <w:color w:val="000000"/>
                <w:spacing w:val="10"/>
              </w:rPr>
              <w:t>行</w:t>
            </w:r>
            <w:r w:rsidR="00647E8B">
              <w:rPr>
                <w:rFonts w:ascii="新細明體" w:hAnsi="新細明體" w:hint="eastAsia"/>
                <w:color w:val="000000"/>
                <w:spacing w:val="10"/>
              </w:rPr>
              <w:t>股權</w:t>
            </w:r>
            <w:r w:rsidR="00647E8B">
              <w:rPr>
                <w:rFonts w:ascii="新細明體" w:hAnsi="新細明體"/>
                <w:color w:val="000000"/>
                <w:spacing w:val="10"/>
              </w:rPr>
              <w:t>性質</w:t>
            </w:r>
            <w:r w:rsidR="00647E8B">
              <w:rPr>
                <w:rFonts w:ascii="新細明體" w:hAnsi="新細明體" w:hint="eastAsia"/>
                <w:color w:val="000000"/>
                <w:spacing w:val="10"/>
              </w:rPr>
              <w:t>群</w:t>
            </w:r>
            <w:r w:rsidR="00647E8B">
              <w:rPr>
                <w:rFonts w:ascii="新細明體" w:hAnsi="新細明體"/>
                <w:color w:val="000000"/>
                <w:spacing w:val="10"/>
              </w:rPr>
              <w:t>眾募資</w:t>
            </w:r>
            <w:r w:rsidR="00581780" w:rsidRPr="00981C8D">
              <w:rPr>
                <w:rFonts w:ascii="新細明體" w:hAnsi="新細明體" w:hint="eastAsia"/>
                <w:color w:val="000000"/>
                <w:spacing w:val="10"/>
              </w:rPr>
              <w:t>業</w:t>
            </w:r>
            <w:r w:rsidR="00581780" w:rsidRPr="00981C8D">
              <w:rPr>
                <w:rFonts w:ascii="新細明體" w:hAnsi="新細明體"/>
                <w:color w:val="000000"/>
                <w:spacing w:val="10"/>
              </w:rPr>
              <w:t>務</w:t>
            </w:r>
            <w:r w:rsidR="00647E8B">
              <w:rPr>
                <w:rFonts w:ascii="新細明體" w:hAnsi="新細明體" w:hint="eastAsia"/>
                <w:color w:val="000000"/>
                <w:spacing w:val="10"/>
              </w:rPr>
              <w:t>之</w:t>
            </w:r>
            <w:r w:rsidR="00647E8B">
              <w:rPr>
                <w:rFonts w:ascii="新細明體" w:hAnsi="新細明體"/>
                <w:color w:val="000000"/>
                <w:spacing w:val="10"/>
              </w:rPr>
              <w:t>主管及</w:t>
            </w:r>
            <w:r w:rsidR="00581780" w:rsidRPr="00981C8D">
              <w:rPr>
                <w:rFonts w:ascii="新細明體" w:hAnsi="新細明體"/>
                <w:color w:val="000000"/>
                <w:spacing w:val="10"/>
              </w:rPr>
              <w:t>人員</w:t>
            </w:r>
            <w:r w:rsidR="00647E8B">
              <w:rPr>
                <w:rFonts w:ascii="新細明體" w:hAnsi="新細明體" w:hint="eastAsia"/>
                <w:color w:val="000000"/>
                <w:spacing w:val="10"/>
              </w:rPr>
              <w:t>與</w:t>
            </w:r>
            <w:r w:rsidRPr="00C80B9D">
              <w:rPr>
                <w:rFonts w:ascii="新細明體" w:hAnsi="新細明體" w:hint="eastAsia"/>
                <w:color w:val="000000"/>
                <w:spacing w:val="10"/>
              </w:rPr>
              <w:t>內部稽核主管應具備</w:t>
            </w:r>
            <w:r w:rsidR="00581780" w:rsidRPr="00981C8D">
              <w:rPr>
                <w:rFonts w:ascii="新細明體" w:hAnsi="新細明體" w:hint="eastAsia"/>
                <w:color w:val="000000"/>
                <w:spacing w:val="10"/>
              </w:rPr>
              <w:t>證</w:t>
            </w:r>
            <w:r w:rsidR="00581780" w:rsidRPr="00981C8D">
              <w:rPr>
                <w:rFonts w:ascii="新細明體" w:hAnsi="新細明體"/>
                <w:color w:val="000000"/>
                <w:spacing w:val="10"/>
              </w:rPr>
              <w:t>券商</w:t>
            </w:r>
            <w:r w:rsidRPr="00C80B9D">
              <w:rPr>
                <w:rFonts w:ascii="新細明體" w:hAnsi="新細明體" w:hint="eastAsia"/>
                <w:color w:val="000000"/>
                <w:spacing w:val="10"/>
              </w:rPr>
              <w:t>業務員以上之資格，</w:t>
            </w:r>
            <w:r w:rsidR="004663BF">
              <w:rPr>
                <w:rFonts w:ascii="新細明體" w:hAnsi="新細明體" w:hint="eastAsia"/>
                <w:color w:val="000000"/>
                <w:spacing w:val="10"/>
              </w:rPr>
              <w:t>前揭</w:t>
            </w:r>
            <w:r w:rsidR="004663BF">
              <w:rPr>
                <w:rFonts w:ascii="新細明體" w:hAnsi="新細明體"/>
                <w:color w:val="000000"/>
                <w:spacing w:val="10"/>
              </w:rPr>
              <w:t>人員之職前及在職訓練依櫃檯買賣中心規定辦理。</w:t>
            </w:r>
          </w:p>
          <w:p w:rsidR="00852B69" w:rsidRPr="008E537B" w:rsidRDefault="00C61EC7" w:rsidP="00EA5338">
            <w:pPr>
              <w:pStyle w:val="ab"/>
              <w:numPr>
                <w:ilvl w:val="0"/>
                <w:numId w:val="4"/>
              </w:numPr>
              <w:adjustRightInd/>
              <w:snapToGrid w:val="0"/>
              <w:spacing w:line="400" w:lineRule="exact"/>
              <w:ind w:leftChars="0" w:left="822" w:hanging="567"/>
              <w:jc w:val="both"/>
              <w:textAlignment w:val="auto"/>
              <w:rPr>
                <w:rFonts w:ascii="新細明體" w:hAnsi="新細明體"/>
                <w:color w:val="000000"/>
                <w:spacing w:val="10"/>
              </w:rPr>
            </w:pPr>
            <w:r w:rsidRPr="008E537B">
              <w:rPr>
                <w:rFonts w:ascii="新細明體" w:hAnsi="新細明體" w:hint="eastAsia"/>
                <w:color w:val="000000"/>
                <w:spacing w:val="10"/>
              </w:rPr>
              <w:t>前</w:t>
            </w:r>
            <w:r w:rsidR="00165371" w:rsidRPr="008E537B">
              <w:rPr>
                <w:rFonts w:ascii="新細明體" w:hAnsi="新細明體" w:hint="eastAsia"/>
                <w:color w:val="000000"/>
                <w:spacing w:val="10"/>
              </w:rPr>
              <w:t>揭</w:t>
            </w:r>
            <w:r w:rsidRPr="008E537B">
              <w:rPr>
                <w:rFonts w:ascii="新細明體" w:hAnsi="新細明體" w:hint="eastAsia"/>
                <w:color w:val="000000"/>
                <w:spacing w:val="10"/>
              </w:rPr>
              <w:t>人員</w:t>
            </w:r>
            <w:r w:rsidR="00BC0F7A">
              <w:rPr>
                <w:rFonts w:ascii="新細明體" w:hAnsi="新細明體" w:hint="eastAsia"/>
                <w:color w:val="000000"/>
                <w:spacing w:val="10"/>
              </w:rPr>
              <w:t>應</w:t>
            </w:r>
            <w:r w:rsidR="004663BF" w:rsidRPr="00C80B9D">
              <w:rPr>
                <w:rFonts w:ascii="新細明體" w:hAnsi="新細明體" w:hint="eastAsia"/>
                <w:color w:val="000000"/>
                <w:spacing w:val="10"/>
              </w:rPr>
              <w:t>辦理人員登記作</w:t>
            </w:r>
            <w:r w:rsidR="004663BF" w:rsidRPr="00C80B9D">
              <w:rPr>
                <w:rFonts w:ascii="新細明體" w:hAnsi="新細明體"/>
                <w:color w:val="000000"/>
                <w:spacing w:val="10"/>
              </w:rPr>
              <w:t>業後始得執行職務</w:t>
            </w:r>
            <w:r w:rsidR="00BC0F7A">
              <w:rPr>
                <w:rFonts w:ascii="新細明體" w:hAnsi="新細明體" w:hint="eastAsia"/>
                <w:spacing w:val="10"/>
              </w:rPr>
              <w:t>。</w:t>
            </w:r>
            <w:r w:rsidR="00BC0F7A" w:rsidRPr="008E537B">
              <w:rPr>
                <w:rFonts w:ascii="細明體" w:eastAsia="細明體" w:hAnsi="細明體" w:cs="細明體"/>
                <w:color w:val="333333"/>
                <w:szCs w:val="24"/>
              </w:rPr>
              <w:t>內部稽核人員</w:t>
            </w:r>
            <w:r w:rsidR="00BC0F7A" w:rsidRPr="008E537B">
              <w:rPr>
                <w:rFonts w:ascii="細明體" w:eastAsia="細明體" w:hAnsi="細明體" w:cs="細明體" w:hint="eastAsia"/>
                <w:color w:val="333333"/>
                <w:szCs w:val="24"/>
              </w:rPr>
              <w:t>有</w:t>
            </w:r>
            <w:r w:rsidR="00BC0F7A" w:rsidRPr="008E537B">
              <w:rPr>
                <w:rFonts w:ascii="細明體" w:eastAsia="細明體" w:hAnsi="細明體" w:cs="細明體"/>
                <w:color w:val="333333"/>
                <w:szCs w:val="24"/>
              </w:rPr>
              <w:t>異動</w:t>
            </w:r>
            <w:r w:rsidR="00BC0F7A" w:rsidRPr="008E537B">
              <w:rPr>
                <w:rFonts w:ascii="細明體" w:eastAsia="細明體" w:hAnsi="細明體" w:cs="細明體" w:hint="eastAsia"/>
                <w:color w:val="333333"/>
                <w:szCs w:val="24"/>
              </w:rPr>
              <w:t>者</w:t>
            </w:r>
            <w:r w:rsidR="00BC0F7A" w:rsidRPr="008E537B">
              <w:rPr>
                <w:rFonts w:ascii="細明體" w:eastAsia="細明體" w:hAnsi="細明體" w:cs="細明體"/>
                <w:color w:val="333333"/>
                <w:szCs w:val="24"/>
              </w:rPr>
              <w:t>，</w:t>
            </w:r>
            <w:r w:rsidR="00BC0F7A" w:rsidRPr="008E537B">
              <w:rPr>
                <w:rFonts w:ascii="細明體" w:eastAsia="細明體" w:hAnsi="細明體" w:cs="細明體" w:hint="eastAsia"/>
                <w:color w:val="333333"/>
                <w:szCs w:val="24"/>
              </w:rPr>
              <w:t>公</w:t>
            </w:r>
            <w:r w:rsidR="00BC0F7A" w:rsidRPr="008E537B">
              <w:rPr>
                <w:rFonts w:ascii="細明體" w:eastAsia="細明體" w:hAnsi="細明體" w:cs="細明體"/>
                <w:color w:val="333333"/>
                <w:szCs w:val="24"/>
              </w:rPr>
              <w:t>司</w:t>
            </w:r>
            <w:proofErr w:type="gramStart"/>
            <w:r w:rsidR="00BC0F7A" w:rsidRPr="008E537B">
              <w:rPr>
                <w:rFonts w:ascii="細明體" w:eastAsia="細明體" w:hAnsi="細明體" w:cs="細明體"/>
                <w:color w:val="333333"/>
                <w:szCs w:val="24"/>
              </w:rPr>
              <w:t>應於異動</w:t>
            </w:r>
            <w:proofErr w:type="gramEnd"/>
            <w:r w:rsidR="00BC0F7A" w:rsidRPr="008E537B">
              <w:rPr>
                <w:rFonts w:ascii="細明體" w:eastAsia="細明體" w:hAnsi="細明體" w:cs="細明體"/>
                <w:color w:val="333333"/>
                <w:szCs w:val="24"/>
              </w:rPr>
              <w:t>前，先申請</w:t>
            </w:r>
            <w:r w:rsidR="00BC0F7A" w:rsidRPr="008E537B">
              <w:rPr>
                <w:rFonts w:ascii="細明體" w:eastAsia="細明體" w:hAnsi="細明體" w:cs="細明體" w:hint="eastAsia"/>
                <w:color w:val="333333"/>
                <w:szCs w:val="24"/>
              </w:rPr>
              <w:t>櫃</w:t>
            </w:r>
            <w:r w:rsidR="00BC0F7A" w:rsidRPr="008E537B">
              <w:rPr>
                <w:rFonts w:ascii="細明體" w:eastAsia="細明體" w:hAnsi="細明體" w:cs="細明體"/>
                <w:color w:val="333333"/>
                <w:szCs w:val="24"/>
              </w:rPr>
              <w:t>檯買賣中心核備後，</w:t>
            </w:r>
            <w:proofErr w:type="gramStart"/>
            <w:r w:rsidR="00BC0F7A" w:rsidRPr="008E537B">
              <w:rPr>
                <w:rFonts w:ascii="細明體" w:eastAsia="細明體" w:hAnsi="細明體" w:cs="細明體"/>
                <w:color w:val="333333"/>
                <w:szCs w:val="24"/>
              </w:rPr>
              <w:t>始得異動</w:t>
            </w:r>
            <w:proofErr w:type="gramEnd"/>
            <w:r w:rsidR="00BC0F7A" w:rsidRPr="008E537B">
              <w:rPr>
                <w:rFonts w:ascii="細明體" w:eastAsia="細明體" w:hAnsi="細明體" w:cs="細明體"/>
                <w:color w:val="333333"/>
                <w:szCs w:val="24"/>
              </w:rPr>
              <w:t>之</w:t>
            </w:r>
            <w:r w:rsidR="00BC0F7A">
              <w:rPr>
                <w:rFonts w:ascii="新細明體" w:hAnsi="新細明體" w:hint="eastAsia"/>
                <w:color w:val="000000"/>
                <w:spacing w:val="10"/>
              </w:rPr>
              <w:t>；</w:t>
            </w:r>
            <w:r w:rsidR="00BC0F7A">
              <w:rPr>
                <w:rFonts w:ascii="新細明體" w:hAnsi="新細明體" w:hint="eastAsia"/>
                <w:spacing w:val="10"/>
              </w:rPr>
              <w:t>其他</w:t>
            </w:r>
            <w:r w:rsidR="00BC0F7A">
              <w:rPr>
                <w:rFonts w:ascii="新細明體" w:hAnsi="新細明體"/>
                <w:spacing w:val="10"/>
              </w:rPr>
              <w:t>人員</w:t>
            </w:r>
            <w:r w:rsidR="004663BF" w:rsidRPr="008E537B">
              <w:rPr>
                <w:rFonts w:hint="eastAsia"/>
              </w:rPr>
              <w:t>有</w:t>
            </w:r>
            <w:r w:rsidR="004663BF" w:rsidRPr="008E537B">
              <w:t>異動者，</w:t>
            </w:r>
            <w:r w:rsidR="004663BF" w:rsidRPr="008E537B">
              <w:rPr>
                <w:rFonts w:hint="eastAsia"/>
              </w:rPr>
              <w:t>公司</w:t>
            </w:r>
            <w:proofErr w:type="gramStart"/>
            <w:r w:rsidR="004663BF" w:rsidRPr="008E537B">
              <w:t>應於異動</w:t>
            </w:r>
            <w:proofErr w:type="gramEnd"/>
            <w:r w:rsidR="004663BF" w:rsidRPr="008E537B">
              <w:t>後五日</w:t>
            </w:r>
            <w:r w:rsidR="004663BF" w:rsidRPr="008E537B">
              <w:rPr>
                <w:rFonts w:hint="eastAsia"/>
              </w:rPr>
              <w:t>內</w:t>
            </w:r>
            <w:r w:rsidR="004663BF" w:rsidRPr="008E537B">
              <w:t>向櫃檯買賣中心申報</w:t>
            </w:r>
            <w:r w:rsidR="004663BF">
              <w:rPr>
                <w:rFonts w:hint="eastAsia"/>
              </w:rPr>
              <w:t>登</w:t>
            </w:r>
            <w:r w:rsidR="004663BF">
              <w:t>記</w:t>
            </w:r>
            <w:r w:rsidR="004663BF" w:rsidRPr="008E537B">
              <w:rPr>
                <w:rFonts w:hint="eastAsia"/>
              </w:rPr>
              <w:t>。</w:t>
            </w:r>
          </w:p>
          <w:p w:rsidR="00C61EC7" w:rsidRPr="00C80B9D" w:rsidRDefault="00C61EC7" w:rsidP="00EA5338">
            <w:pPr>
              <w:pStyle w:val="ab"/>
              <w:numPr>
                <w:ilvl w:val="1"/>
                <w:numId w:val="2"/>
              </w:numPr>
              <w:tabs>
                <w:tab w:val="left" w:pos="527"/>
              </w:tabs>
              <w:spacing w:line="400" w:lineRule="exact"/>
              <w:ind w:leftChars="0" w:rightChars="47" w:right="113" w:hanging="1123"/>
              <w:jc w:val="both"/>
              <w:rPr>
                <w:rFonts w:ascii="新細明體"/>
                <w:color w:val="000000"/>
                <w:spacing w:val="10"/>
              </w:rPr>
            </w:pPr>
            <w:r w:rsidRPr="008E537B">
              <w:rPr>
                <w:rFonts w:ascii="新細明體" w:hint="eastAsia"/>
                <w:color w:val="000000"/>
                <w:spacing w:val="10"/>
              </w:rPr>
              <w:t>財務、業務</w:t>
            </w:r>
            <w:r w:rsidR="00602AD2" w:rsidRPr="008E537B">
              <w:rPr>
                <w:rFonts w:ascii="新細明體" w:hint="eastAsia"/>
                <w:color w:val="000000"/>
                <w:spacing w:val="10"/>
              </w:rPr>
              <w:t>管</w:t>
            </w:r>
            <w:r w:rsidR="00602AD2" w:rsidRPr="008E537B">
              <w:rPr>
                <w:rFonts w:ascii="新細明體"/>
                <w:color w:val="000000"/>
                <w:spacing w:val="10"/>
              </w:rPr>
              <w:t>理及</w:t>
            </w:r>
            <w:r w:rsidRPr="008E537B">
              <w:rPr>
                <w:rFonts w:ascii="新細明體" w:hint="eastAsia"/>
                <w:color w:val="000000"/>
                <w:spacing w:val="10"/>
              </w:rPr>
              <w:t>資訊</w:t>
            </w:r>
            <w:r w:rsidR="00CF5BFF" w:rsidRPr="00C80B9D">
              <w:rPr>
                <w:rFonts w:ascii="新細明體" w:hint="eastAsia"/>
                <w:color w:val="000000"/>
                <w:spacing w:val="10"/>
              </w:rPr>
              <w:t>申報</w:t>
            </w:r>
            <w:r w:rsidRPr="00C80B9D">
              <w:rPr>
                <w:rFonts w:ascii="新細明體" w:hint="eastAsia"/>
                <w:color w:val="000000"/>
                <w:spacing w:val="10"/>
              </w:rPr>
              <w:t>作業：</w:t>
            </w:r>
          </w:p>
          <w:p w:rsidR="00C61EC7" w:rsidRPr="00C80B9D" w:rsidRDefault="00C61EC7" w:rsidP="00EA5338">
            <w:pPr>
              <w:pStyle w:val="ab"/>
              <w:numPr>
                <w:ilvl w:val="0"/>
                <w:numId w:val="6"/>
              </w:numPr>
              <w:adjustRightInd/>
              <w:snapToGrid w:val="0"/>
              <w:spacing w:line="400" w:lineRule="exact"/>
              <w:ind w:leftChars="0" w:left="822" w:hanging="567"/>
              <w:jc w:val="both"/>
              <w:textAlignment w:val="auto"/>
              <w:rPr>
                <w:rFonts w:ascii="新細明體" w:hAnsi="新細明體"/>
                <w:color w:val="000000"/>
                <w:spacing w:val="10"/>
              </w:rPr>
            </w:pPr>
            <w:r w:rsidRPr="00C80B9D">
              <w:rPr>
                <w:rFonts w:ascii="新細明體" w:hAnsi="新細明體" w:hint="eastAsia"/>
                <w:color w:val="000000"/>
                <w:spacing w:val="10"/>
              </w:rPr>
              <w:t>公司應於每會計年度終了後三</w:t>
            </w:r>
            <w:proofErr w:type="gramStart"/>
            <w:r w:rsidRPr="00C80B9D">
              <w:rPr>
                <w:rFonts w:ascii="新細明體" w:hAnsi="新細明體" w:hint="eastAsia"/>
                <w:color w:val="000000"/>
                <w:spacing w:val="10"/>
              </w:rPr>
              <w:t>個</w:t>
            </w:r>
            <w:proofErr w:type="gramEnd"/>
            <w:r w:rsidRPr="00C80B9D">
              <w:rPr>
                <w:rFonts w:ascii="新細明體" w:hAnsi="新細明體" w:hint="eastAsia"/>
                <w:color w:val="000000"/>
                <w:spacing w:val="10"/>
              </w:rPr>
              <w:t>月內，向櫃檯買賣中心申報經會計師查核簽證之年度財務報告。</w:t>
            </w:r>
          </w:p>
          <w:p w:rsidR="00C61EC7" w:rsidRPr="00C80B9D" w:rsidRDefault="00C61EC7" w:rsidP="00EA5338">
            <w:pPr>
              <w:pStyle w:val="ab"/>
              <w:numPr>
                <w:ilvl w:val="0"/>
                <w:numId w:val="6"/>
              </w:numPr>
              <w:adjustRightInd/>
              <w:snapToGrid w:val="0"/>
              <w:spacing w:line="400" w:lineRule="exact"/>
              <w:ind w:leftChars="0" w:left="822" w:hanging="567"/>
              <w:jc w:val="both"/>
              <w:textAlignment w:val="auto"/>
              <w:rPr>
                <w:rFonts w:ascii="新細明體" w:hAnsi="新細明體"/>
                <w:color w:val="000000"/>
                <w:spacing w:val="10"/>
              </w:rPr>
            </w:pPr>
            <w:r w:rsidRPr="00C80B9D">
              <w:rPr>
                <w:rFonts w:ascii="新細明體" w:hAnsi="新細明體" w:hint="eastAsia"/>
                <w:color w:val="000000"/>
                <w:spacing w:val="10"/>
              </w:rPr>
              <w:t>公司應於每月七日以前，依規定格式向櫃檯買賣中心申報上月</w:t>
            </w:r>
            <w:r w:rsidRPr="00C80B9D">
              <w:rPr>
                <w:rFonts w:ascii="新細明體" w:hAnsi="新細明體" w:hint="eastAsia"/>
                <w:color w:val="000000"/>
                <w:spacing w:val="10"/>
              </w:rPr>
              <w:lastRenderedPageBreak/>
              <w:t>份會計科目月計表。</w:t>
            </w:r>
          </w:p>
          <w:p w:rsidR="008D418A" w:rsidRDefault="00C61EC7" w:rsidP="00EA5338">
            <w:pPr>
              <w:pStyle w:val="ab"/>
              <w:numPr>
                <w:ilvl w:val="0"/>
                <w:numId w:val="6"/>
              </w:numPr>
              <w:adjustRightInd/>
              <w:snapToGrid w:val="0"/>
              <w:spacing w:line="400" w:lineRule="exact"/>
              <w:ind w:leftChars="0" w:left="822" w:hanging="567"/>
              <w:jc w:val="both"/>
              <w:textAlignment w:val="auto"/>
              <w:rPr>
                <w:rFonts w:ascii="新細明體" w:hAnsi="新細明體"/>
                <w:color w:val="000000"/>
                <w:spacing w:val="10"/>
              </w:rPr>
            </w:pPr>
            <w:r w:rsidRPr="00C80B9D">
              <w:rPr>
                <w:rFonts w:ascii="新細明體" w:hAnsi="新細明體" w:hint="eastAsia"/>
                <w:color w:val="000000"/>
                <w:spacing w:val="10"/>
              </w:rPr>
              <w:t>公司應將受理</w:t>
            </w:r>
            <w:r w:rsidR="00196B3E">
              <w:rPr>
                <w:rFonts w:ascii="新細明體" w:hAnsi="新細明體" w:hint="eastAsia"/>
                <w:color w:val="000000"/>
                <w:spacing w:val="10"/>
              </w:rPr>
              <w:t>募</w:t>
            </w:r>
            <w:r w:rsidR="00152BBC" w:rsidRPr="00C80B9D">
              <w:rPr>
                <w:rFonts w:ascii="新細明體" w:hAnsi="新細明體" w:hint="eastAsia"/>
                <w:color w:val="000000"/>
                <w:spacing w:val="10"/>
              </w:rPr>
              <w:t>資公司</w:t>
            </w:r>
            <w:r w:rsidRPr="00C80B9D">
              <w:rPr>
                <w:rFonts w:ascii="新細明體" w:hAnsi="新細明體" w:hint="eastAsia"/>
                <w:color w:val="000000"/>
                <w:spacing w:val="10"/>
              </w:rPr>
              <w:t>辦理股權</w:t>
            </w:r>
            <w:r w:rsidR="00E84199">
              <w:rPr>
                <w:rFonts w:ascii="新細明體" w:hAnsi="新細明體" w:hint="eastAsia"/>
                <w:color w:val="000000"/>
                <w:spacing w:val="10"/>
              </w:rPr>
              <w:t>募</w:t>
            </w:r>
            <w:r w:rsidRPr="00C80B9D">
              <w:rPr>
                <w:rFonts w:ascii="新細明體" w:hAnsi="新細明體" w:hint="eastAsia"/>
                <w:color w:val="000000"/>
                <w:spacing w:val="10"/>
              </w:rPr>
              <w:t>資之明細表、</w:t>
            </w:r>
            <w:r w:rsidR="00196B3E">
              <w:rPr>
                <w:rFonts w:ascii="新細明體" w:hAnsi="新細明體" w:hint="eastAsia"/>
                <w:color w:val="000000"/>
                <w:spacing w:val="10"/>
              </w:rPr>
              <w:t>募</w:t>
            </w:r>
            <w:r w:rsidR="00152BBC" w:rsidRPr="00C80B9D">
              <w:rPr>
                <w:rFonts w:ascii="新細明體" w:hAnsi="新細明體" w:hint="eastAsia"/>
                <w:color w:val="000000"/>
                <w:spacing w:val="10"/>
              </w:rPr>
              <w:t>資公司</w:t>
            </w:r>
            <w:r w:rsidR="00E84199">
              <w:rPr>
                <w:rFonts w:ascii="新細明體" w:hAnsi="新細明體" w:hint="eastAsia"/>
                <w:color w:val="000000"/>
                <w:spacing w:val="10"/>
              </w:rPr>
              <w:t>募</w:t>
            </w:r>
            <w:r w:rsidRPr="00C80B9D">
              <w:rPr>
                <w:rFonts w:ascii="新細明體" w:hAnsi="新細明體" w:hint="eastAsia"/>
                <w:color w:val="000000"/>
                <w:spacing w:val="10"/>
              </w:rPr>
              <w:t>資</w:t>
            </w:r>
            <w:proofErr w:type="gramStart"/>
            <w:r w:rsidRPr="00C80B9D">
              <w:rPr>
                <w:rFonts w:ascii="新細明體" w:hAnsi="新細明體" w:hint="eastAsia"/>
                <w:color w:val="000000"/>
                <w:spacing w:val="10"/>
              </w:rPr>
              <w:t>進</w:t>
            </w:r>
            <w:r w:rsidR="00E84199">
              <w:rPr>
                <w:rFonts w:ascii="新細明體" w:hAnsi="新細明體" w:hint="eastAsia"/>
                <w:color w:val="000000"/>
                <w:spacing w:val="10"/>
              </w:rPr>
              <w:t>度及募</w:t>
            </w:r>
            <w:r w:rsidR="006B580C">
              <w:rPr>
                <w:rFonts w:ascii="新細明體" w:hAnsi="新細明體" w:hint="eastAsia"/>
                <w:color w:val="000000"/>
                <w:spacing w:val="10"/>
              </w:rPr>
              <w:t>資</w:t>
            </w:r>
            <w:proofErr w:type="gramEnd"/>
            <w:r w:rsidR="006B580C">
              <w:rPr>
                <w:rFonts w:ascii="新細明體" w:hAnsi="新細明體" w:hint="eastAsia"/>
                <w:color w:val="000000"/>
                <w:spacing w:val="10"/>
              </w:rPr>
              <w:t>後資金運用情形追蹤表及主要投資人名單等資料，</w:t>
            </w:r>
            <w:r w:rsidRPr="00C80B9D">
              <w:rPr>
                <w:rFonts w:ascii="新細明體" w:hAnsi="新細明體" w:hint="eastAsia"/>
                <w:color w:val="000000"/>
                <w:spacing w:val="10"/>
              </w:rPr>
              <w:t>依規定格式</w:t>
            </w:r>
            <w:r w:rsidR="006B580C">
              <w:rPr>
                <w:rFonts w:ascii="新細明體" w:hAnsi="新細明體" w:hint="eastAsia"/>
                <w:color w:val="000000"/>
                <w:spacing w:val="10"/>
              </w:rPr>
              <w:t>及期限</w:t>
            </w:r>
            <w:r w:rsidRPr="00C80B9D">
              <w:rPr>
                <w:rFonts w:ascii="新細明體" w:hAnsi="新細明體" w:hint="eastAsia"/>
                <w:color w:val="000000"/>
                <w:spacing w:val="10"/>
              </w:rPr>
              <w:t>輸入櫃檯買賣中心指定之資訊申報系統。</w:t>
            </w:r>
          </w:p>
          <w:p w:rsidR="008D418A" w:rsidRPr="008D418A" w:rsidRDefault="008D418A" w:rsidP="00EA5338">
            <w:pPr>
              <w:pStyle w:val="ab"/>
              <w:numPr>
                <w:ilvl w:val="0"/>
                <w:numId w:val="6"/>
              </w:numPr>
              <w:adjustRightInd/>
              <w:snapToGrid w:val="0"/>
              <w:spacing w:line="400" w:lineRule="exact"/>
              <w:ind w:leftChars="0" w:left="822" w:hanging="567"/>
              <w:jc w:val="both"/>
              <w:textAlignment w:val="auto"/>
              <w:rPr>
                <w:rFonts w:ascii="新細明體" w:hAnsi="新細明體"/>
                <w:color w:val="000000"/>
                <w:spacing w:val="10"/>
              </w:rPr>
            </w:pPr>
            <w:r w:rsidRPr="008D418A">
              <w:rPr>
                <w:rFonts w:ascii="新細明體" w:hAnsi="新細明體" w:hint="eastAsia"/>
              </w:rPr>
              <w:t>公司</w:t>
            </w:r>
            <w:r w:rsidRPr="008D418A">
              <w:rPr>
                <w:rFonts w:ascii="新細明體" w:hAnsi="新細明體" w:hint="eastAsia"/>
                <w:color w:val="FF0000"/>
                <w:u w:val="single"/>
              </w:rPr>
              <w:t>若為僅經營股權性質群眾募資業務之證券商</w:t>
            </w:r>
            <w:r w:rsidRPr="008D418A">
              <w:rPr>
                <w:rFonts w:ascii="新細明體" w:hAnsi="新細明體" w:hint="eastAsia"/>
              </w:rPr>
              <w:t>，其財務比率、資金運用及轉投資應符合下列規定</w:t>
            </w:r>
            <w:r w:rsidRPr="008D418A">
              <w:rPr>
                <w:rFonts w:ascii="新細明體" w:hAnsi="新細明體"/>
              </w:rPr>
              <w:br/>
              <w:t>1.</w:t>
            </w:r>
            <w:r w:rsidRPr="008D418A">
              <w:rPr>
                <w:rFonts w:ascii="新細明體" w:hAnsi="新細明體" w:hint="eastAsia"/>
              </w:rPr>
              <w:t>其對外負債總額不得超過其淨值。</w:t>
            </w:r>
          </w:p>
          <w:p w:rsidR="008D418A" w:rsidRPr="008D418A" w:rsidRDefault="008D418A" w:rsidP="00EA5338">
            <w:pPr>
              <w:pStyle w:val="ab"/>
              <w:adjustRightInd/>
              <w:snapToGrid w:val="0"/>
              <w:spacing w:line="400" w:lineRule="exact"/>
              <w:ind w:leftChars="0" w:left="822"/>
              <w:jc w:val="both"/>
              <w:textAlignment w:val="auto"/>
              <w:rPr>
                <w:rFonts w:ascii="新細明體" w:hAnsi="新細明體"/>
                <w:color w:val="000000"/>
                <w:spacing w:val="10"/>
              </w:rPr>
            </w:pPr>
            <w:r w:rsidRPr="008D418A">
              <w:rPr>
                <w:rFonts w:asciiTheme="minorEastAsia" w:eastAsiaTheme="minorEastAsia" w:hAnsiTheme="minorEastAsia"/>
              </w:rPr>
              <w:t>2.</w:t>
            </w:r>
            <w:r w:rsidRPr="008D418A">
              <w:rPr>
                <w:rFonts w:asciiTheme="minorEastAsia" w:eastAsiaTheme="minorEastAsia" w:hAnsiTheme="minorEastAsia" w:hint="eastAsia"/>
              </w:rPr>
              <w:t>其資金非屬業務所需者，不得貸與他人或移作他項用途。</w:t>
            </w:r>
          </w:p>
          <w:p w:rsidR="008D418A" w:rsidRPr="00BE664D" w:rsidRDefault="008D418A" w:rsidP="00EA5338">
            <w:pPr>
              <w:pStyle w:val="ab"/>
              <w:adjustRightInd/>
              <w:snapToGrid w:val="0"/>
              <w:spacing w:line="400" w:lineRule="exact"/>
              <w:ind w:leftChars="0" w:left="822"/>
              <w:jc w:val="both"/>
              <w:textAlignment w:val="auto"/>
              <w:rPr>
                <w:rFonts w:ascii="新細明體" w:hAnsi="新細明體"/>
                <w:color w:val="FF0000"/>
                <w:u w:val="single"/>
              </w:rPr>
            </w:pPr>
            <w:r>
              <w:rPr>
                <w:rFonts w:asciiTheme="minorEastAsia" w:eastAsiaTheme="minorEastAsia" w:hAnsiTheme="minorEastAsia"/>
              </w:rPr>
              <w:t>3.</w:t>
            </w:r>
            <w:r w:rsidRPr="001B27EE">
              <w:rPr>
                <w:rFonts w:ascii="新細明體" w:hAnsi="新細明體" w:hint="eastAsia"/>
                <w:color w:val="FF0000"/>
                <w:u w:val="single"/>
              </w:rPr>
              <w:t>僅限參與認購</w:t>
            </w:r>
            <w:proofErr w:type="gramStart"/>
            <w:r w:rsidRPr="001B27EE">
              <w:rPr>
                <w:rFonts w:ascii="新細明體" w:hAnsi="新細明體" w:hint="eastAsia"/>
                <w:color w:val="FF0000"/>
                <w:u w:val="single"/>
              </w:rPr>
              <w:t>於其募資</w:t>
            </w:r>
            <w:proofErr w:type="gramEnd"/>
            <w:r w:rsidRPr="001B27EE">
              <w:rPr>
                <w:rFonts w:ascii="新細明體" w:hAnsi="新細明體" w:hint="eastAsia"/>
                <w:color w:val="FF0000"/>
                <w:u w:val="single"/>
              </w:rPr>
              <w:t>平台辦理股權募資之公司股票，且應符合下列規定</w:t>
            </w:r>
            <w:r w:rsidRPr="001B27EE">
              <w:rPr>
                <w:rFonts w:ascii="新細明體" w:hAnsi="新細明體"/>
                <w:color w:val="FF0000"/>
                <w:u w:val="single"/>
              </w:rPr>
              <w:t>:</w:t>
            </w:r>
            <w:r w:rsidRPr="001B27EE">
              <w:rPr>
                <w:rFonts w:ascii="新細明體" w:hAnsi="新細明體"/>
                <w:color w:val="FF0000"/>
                <w:u w:val="single"/>
              </w:rPr>
              <w:br/>
            </w:r>
            <w:r>
              <w:rPr>
                <w:rFonts w:ascii="新細明體" w:hAnsi="新細明體"/>
                <w:color w:val="FF0000"/>
                <w:u w:val="single"/>
              </w:rPr>
              <w:t>(1)</w:t>
            </w:r>
            <w:r w:rsidRPr="001B27EE">
              <w:rPr>
                <w:rFonts w:ascii="新細明體" w:hAnsi="新細明體"/>
                <w:color w:val="FF0000"/>
                <w:u w:val="single"/>
              </w:rPr>
              <w:t>.</w:t>
            </w:r>
            <w:r w:rsidRPr="001B27EE">
              <w:rPr>
                <w:rFonts w:ascii="新細明體" w:hAnsi="新細明體" w:hint="eastAsia"/>
                <w:color w:val="FF0000"/>
                <w:u w:val="single"/>
              </w:rPr>
              <w:t>持有任</w:t>
            </w:r>
            <w:proofErr w:type="gramStart"/>
            <w:r w:rsidRPr="001B27EE">
              <w:rPr>
                <w:rFonts w:ascii="新細明體" w:hAnsi="新細明體" w:hint="eastAsia"/>
                <w:color w:val="FF0000"/>
                <w:u w:val="single"/>
              </w:rPr>
              <w:t>一</w:t>
            </w:r>
            <w:proofErr w:type="gramEnd"/>
            <w:r>
              <w:rPr>
                <w:rFonts w:ascii="新細明體" w:hAnsi="新細明體" w:hint="eastAsia"/>
                <w:color w:val="FF0000"/>
                <w:u w:val="single"/>
              </w:rPr>
              <w:t>募資</w:t>
            </w:r>
            <w:r w:rsidRPr="001B27EE">
              <w:rPr>
                <w:rFonts w:ascii="新細明體" w:hAnsi="新細明體" w:hint="eastAsia"/>
                <w:color w:val="FF0000"/>
                <w:u w:val="single"/>
              </w:rPr>
              <w:t>公司股份之總額不得</w:t>
            </w:r>
            <w:proofErr w:type="gramStart"/>
            <w:r w:rsidRPr="001B27EE">
              <w:rPr>
                <w:rFonts w:ascii="新細明體" w:hAnsi="新細明體" w:hint="eastAsia"/>
                <w:color w:val="FF0000"/>
                <w:u w:val="single"/>
              </w:rPr>
              <w:t>超過該</w:t>
            </w:r>
            <w:r>
              <w:rPr>
                <w:rFonts w:ascii="新細明體" w:hAnsi="新細明體" w:hint="eastAsia"/>
                <w:color w:val="FF0000"/>
                <w:u w:val="single"/>
              </w:rPr>
              <w:t>募資</w:t>
            </w:r>
            <w:proofErr w:type="gramEnd"/>
            <w:r w:rsidRPr="001B27EE">
              <w:rPr>
                <w:rFonts w:ascii="新細明體" w:hAnsi="新細明體" w:hint="eastAsia"/>
                <w:color w:val="FF0000"/>
                <w:u w:val="single"/>
              </w:rPr>
              <w:t>公司股份總額之百分之十。</w:t>
            </w:r>
            <w:r w:rsidRPr="001B27EE">
              <w:rPr>
                <w:rFonts w:ascii="新細明體" w:hAnsi="新細明體"/>
                <w:color w:val="FF0000"/>
                <w:u w:val="single"/>
              </w:rPr>
              <w:br/>
            </w:r>
            <w:r>
              <w:rPr>
                <w:rFonts w:ascii="新細明體" w:hAnsi="新細明體"/>
                <w:color w:val="FF0000"/>
                <w:u w:val="single"/>
              </w:rPr>
              <w:t>(2)</w:t>
            </w:r>
            <w:r w:rsidRPr="001B27EE">
              <w:rPr>
                <w:rFonts w:ascii="新細明體" w:hAnsi="新細明體"/>
                <w:color w:val="FF0000"/>
                <w:u w:val="single"/>
              </w:rPr>
              <w:t>.</w:t>
            </w:r>
            <w:r w:rsidRPr="001B27EE">
              <w:rPr>
                <w:rFonts w:ascii="新細明體" w:hAnsi="新細明體" w:hint="eastAsia"/>
                <w:color w:val="FF0000"/>
                <w:u w:val="single"/>
              </w:rPr>
              <w:t>持有任</w:t>
            </w:r>
            <w:proofErr w:type="gramStart"/>
            <w:r w:rsidRPr="001B27EE">
              <w:rPr>
                <w:rFonts w:ascii="新細明體" w:hAnsi="新細明體" w:hint="eastAsia"/>
                <w:color w:val="FF0000"/>
                <w:u w:val="single"/>
              </w:rPr>
              <w:t>一</w:t>
            </w:r>
            <w:proofErr w:type="gramEnd"/>
            <w:r w:rsidRPr="001B27EE">
              <w:rPr>
                <w:rFonts w:ascii="新細明體" w:hAnsi="新細明體" w:hint="eastAsia"/>
                <w:color w:val="FF0000"/>
                <w:u w:val="single"/>
              </w:rPr>
              <w:t>及</w:t>
            </w:r>
            <w:proofErr w:type="gramStart"/>
            <w:r w:rsidRPr="001B27EE">
              <w:rPr>
                <w:rFonts w:ascii="新細明體" w:hAnsi="新細明體" w:hint="eastAsia"/>
                <w:color w:val="FF0000"/>
                <w:u w:val="single"/>
              </w:rPr>
              <w:t>所有</w:t>
            </w:r>
            <w:r>
              <w:rPr>
                <w:rFonts w:ascii="新細明體" w:hAnsi="新細明體" w:hint="eastAsia"/>
                <w:color w:val="FF0000"/>
                <w:u w:val="single"/>
              </w:rPr>
              <w:t>募</w:t>
            </w:r>
            <w:proofErr w:type="gramEnd"/>
            <w:r>
              <w:rPr>
                <w:rFonts w:ascii="新細明體" w:hAnsi="新細明體" w:hint="eastAsia"/>
                <w:color w:val="FF0000"/>
                <w:u w:val="single"/>
              </w:rPr>
              <w:t>資</w:t>
            </w:r>
            <w:r w:rsidRPr="001B27EE">
              <w:rPr>
                <w:rFonts w:ascii="新細明體" w:hAnsi="新細明體" w:hint="eastAsia"/>
                <w:color w:val="FF0000"/>
                <w:u w:val="single"/>
              </w:rPr>
              <w:t>公司股份之成本總額，各不得超過公司淨值之百分之二十及百分之四十。</w:t>
            </w:r>
            <w:r w:rsidRPr="001B27EE">
              <w:rPr>
                <w:rFonts w:ascii="新細明體" w:hAnsi="新細明體"/>
                <w:color w:val="FF0000"/>
                <w:u w:val="single"/>
              </w:rPr>
              <w:br/>
            </w:r>
            <w:r>
              <w:rPr>
                <w:rFonts w:ascii="新細明體" w:hAnsi="新細明體"/>
                <w:color w:val="FF0000"/>
                <w:u w:val="single"/>
              </w:rPr>
              <w:t>(3)</w:t>
            </w:r>
            <w:r w:rsidRPr="001B27EE">
              <w:rPr>
                <w:rFonts w:ascii="新細明體" w:hAnsi="新細明體"/>
                <w:color w:val="FF0000"/>
                <w:u w:val="single"/>
              </w:rPr>
              <w:t>.</w:t>
            </w:r>
            <w:r w:rsidRPr="001B27EE">
              <w:rPr>
                <w:rFonts w:ascii="新細明體" w:hAnsi="新細明體" w:hint="eastAsia"/>
                <w:color w:val="FF0000"/>
                <w:u w:val="single"/>
              </w:rPr>
              <w:t>對投資部位訂定投資前投資決策、投資</w:t>
            </w:r>
            <w:r w:rsidRPr="001054F8">
              <w:rPr>
                <w:rFonts w:ascii="新細明體" w:hAnsi="新細明體" w:hint="eastAsia"/>
                <w:color w:val="FF0000"/>
                <w:u w:val="single"/>
              </w:rPr>
              <w:t>後管理及風險評估等機制。</w:t>
            </w:r>
            <w:r w:rsidRPr="001054F8">
              <w:rPr>
                <w:rFonts w:ascii="新細明體" w:hAnsi="新細明體"/>
                <w:color w:val="FF0000"/>
                <w:u w:val="single"/>
              </w:rPr>
              <w:br/>
            </w:r>
            <w:r>
              <w:rPr>
                <w:rFonts w:ascii="新細明體" w:hAnsi="新細明體"/>
                <w:color w:val="FF0000"/>
                <w:u w:val="single"/>
              </w:rPr>
              <w:t>(4)</w:t>
            </w:r>
            <w:r w:rsidRPr="001054F8">
              <w:rPr>
                <w:rFonts w:ascii="新細明體" w:hAnsi="新細明體"/>
                <w:color w:val="FF0000"/>
                <w:u w:val="single"/>
              </w:rPr>
              <w:t>.</w:t>
            </w:r>
            <w:r w:rsidRPr="001054F8">
              <w:rPr>
                <w:rFonts w:ascii="新細明體" w:hAnsi="新細明體" w:hint="eastAsia"/>
                <w:color w:val="FF0000"/>
                <w:u w:val="single"/>
              </w:rPr>
              <w:t>嗣後其股票轉讓對象僅限於「證券商經營股權性質群眾募資管理辦法」中所訂之天使投資人。</w:t>
            </w:r>
          </w:p>
          <w:p w:rsidR="00BE664D" w:rsidRDefault="00B308C0" w:rsidP="00EA5338">
            <w:pPr>
              <w:pStyle w:val="ab"/>
              <w:numPr>
                <w:ilvl w:val="0"/>
                <w:numId w:val="6"/>
              </w:numPr>
              <w:adjustRightInd/>
              <w:snapToGrid w:val="0"/>
              <w:spacing w:line="400" w:lineRule="exact"/>
              <w:ind w:leftChars="0" w:left="822" w:hanging="567"/>
              <w:jc w:val="both"/>
              <w:textAlignment w:val="auto"/>
              <w:rPr>
                <w:rFonts w:ascii="新細明體" w:hAnsi="新細明體"/>
                <w:color w:val="000000"/>
                <w:spacing w:val="10"/>
              </w:rPr>
            </w:pPr>
            <w:r w:rsidRPr="00D13190">
              <w:rPr>
                <w:rFonts w:ascii="新細明體" w:hAnsi="新細明體" w:hint="eastAsia"/>
                <w:color w:val="FF0000"/>
                <w:u w:val="single"/>
              </w:rPr>
              <w:t>公司若為兼營股權性質群眾募資業務者，以自有資金投資</w:t>
            </w:r>
            <w:proofErr w:type="gramStart"/>
            <w:r w:rsidRPr="00D13190">
              <w:rPr>
                <w:rFonts w:ascii="新細明體" w:hAnsi="新細明體" w:hint="eastAsia"/>
                <w:color w:val="FF0000"/>
                <w:u w:val="single"/>
              </w:rPr>
              <w:t>於其募資</w:t>
            </w:r>
            <w:proofErr w:type="gramEnd"/>
            <w:r w:rsidRPr="00D13190">
              <w:rPr>
                <w:rFonts w:ascii="新細明體" w:hAnsi="新細明體" w:hint="eastAsia"/>
                <w:color w:val="FF0000"/>
                <w:u w:val="single"/>
              </w:rPr>
              <w:lastRenderedPageBreak/>
              <w:t>平台辦理股權募資之公司股票，應符合下列規定</w:t>
            </w:r>
            <w:r w:rsidRPr="00D13190">
              <w:rPr>
                <w:rFonts w:ascii="新細明體" w:hAnsi="新細明體"/>
                <w:color w:val="FF0000"/>
                <w:u w:val="single"/>
              </w:rPr>
              <w:t>:</w:t>
            </w:r>
            <w:r w:rsidR="00BE664D" w:rsidRPr="005C4FF8">
              <w:rPr>
                <w:rFonts w:asciiTheme="minorEastAsia" w:eastAsiaTheme="minorEastAsia" w:hAnsiTheme="minorEastAsia"/>
                <w:color w:val="FF0000"/>
                <w:u w:val="single"/>
              </w:rPr>
              <w:br/>
              <w:t>1.</w:t>
            </w:r>
            <w:r w:rsidR="00BE664D" w:rsidRPr="005C4FF8">
              <w:rPr>
                <w:rFonts w:asciiTheme="minorEastAsia" w:eastAsiaTheme="minorEastAsia" w:hAnsiTheme="minorEastAsia" w:hint="eastAsia"/>
                <w:color w:val="FF0000"/>
                <w:u w:val="single"/>
              </w:rPr>
              <w:t>持有任</w:t>
            </w:r>
            <w:proofErr w:type="gramStart"/>
            <w:r w:rsidR="00BE664D" w:rsidRPr="005C4FF8">
              <w:rPr>
                <w:rFonts w:asciiTheme="minorEastAsia" w:eastAsiaTheme="minorEastAsia" w:hAnsiTheme="minorEastAsia" w:hint="eastAsia"/>
                <w:color w:val="FF0000"/>
                <w:u w:val="single"/>
              </w:rPr>
              <w:t>一</w:t>
            </w:r>
            <w:proofErr w:type="gramEnd"/>
            <w:r w:rsidR="00BE664D" w:rsidRPr="005C4FF8">
              <w:rPr>
                <w:rFonts w:asciiTheme="minorEastAsia" w:eastAsiaTheme="minorEastAsia" w:hAnsiTheme="minorEastAsia" w:hint="eastAsia"/>
                <w:color w:val="FF0000"/>
                <w:u w:val="single"/>
              </w:rPr>
              <w:t>募資公司股份之總額不得</w:t>
            </w:r>
            <w:proofErr w:type="gramStart"/>
            <w:r w:rsidR="00BE664D" w:rsidRPr="005C4FF8">
              <w:rPr>
                <w:rFonts w:asciiTheme="minorEastAsia" w:eastAsiaTheme="minorEastAsia" w:hAnsiTheme="minorEastAsia" w:hint="eastAsia"/>
                <w:color w:val="FF0000"/>
                <w:u w:val="single"/>
              </w:rPr>
              <w:t>超過該募資</w:t>
            </w:r>
            <w:proofErr w:type="gramEnd"/>
            <w:r w:rsidR="00BE664D" w:rsidRPr="005C4FF8">
              <w:rPr>
                <w:rFonts w:asciiTheme="minorEastAsia" w:eastAsiaTheme="minorEastAsia" w:hAnsiTheme="minorEastAsia" w:hint="eastAsia"/>
                <w:color w:val="FF0000"/>
                <w:u w:val="single"/>
              </w:rPr>
              <w:t>公司股份總額之百分之十。</w:t>
            </w:r>
            <w:r w:rsidR="00BE664D" w:rsidRPr="005C4FF8">
              <w:rPr>
                <w:rFonts w:asciiTheme="minorEastAsia" w:eastAsiaTheme="minorEastAsia" w:hAnsiTheme="minorEastAsia"/>
                <w:color w:val="FF0000"/>
                <w:u w:val="single"/>
              </w:rPr>
              <w:br/>
              <w:t>2.</w:t>
            </w:r>
            <w:r w:rsidR="00BE664D" w:rsidRPr="005C4FF8">
              <w:rPr>
                <w:rFonts w:asciiTheme="minorEastAsia" w:eastAsiaTheme="minorEastAsia" w:hAnsiTheme="minorEastAsia" w:hint="eastAsia"/>
                <w:color w:val="FF0000"/>
                <w:u w:val="single"/>
              </w:rPr>
              <w:t>持有任</w:t>
            </w:r>
            <w:proofErr w:type="gramStart"/>
            <w:r w:rsidR="00BE664D" w:rsidRPr="005C4FF8">
              <w:rPr>
                <w:rFonts w:asciiTheme="minorEastAsia" w:eastAsiaTheme="minorEastAsia" w:hAnsiTheme="minorEastAsia" w:hint="eastAsia"/>
                <w:color w:val="FF0000"/>
                <w:u w:val="single"/>
              </w:rPr>
              <w:t>一</w:t>
            </w:r>
            <w:proofErr w:type="gramEnd"/>
            <w:r w:rsidR="00BE664D" w:rsidRPr="005C4FF8">
              <w:rPr>
                <w:rFonts w:asciiTheme="minorEastAsia" w:eastAsiaTheme="minorEastAsia" w:hAnsiTheme="minorEastAsia" w:hint="eastAsia"/>
                <w:color w:val="FF0000"/>
                <w:u w:val="single"/>
              </w:rPr>
              <w:t>募資公司</w:t>
            </w:r>
            <w:r w:rsidR="00BE664D">
              <w:rPr>
                <w:rFonts w:asciiTheme="minorEastAsia" w:eastAsiaTheme="minorEastAsia" w:hAnsiTheme="minorEastAsia" w:hint="eastAsia"/>
                <w:color w:val="FF0000"/>
                <w:u w:val="single"/>
              </w:rPr>
              <w:t>股份之成本總額，</w:t>
            </w:r>
            <w:proofErr w:type="gramStart"/>
            <w:r w:rsidR="00BE664D">
              <w:rPr>
                <w:rFonts w:asciiTheme="minorEastAsia" w:eastAsiaTheme="minorEastAsia" w:hAnsiTheme="minorEastAsia" w:hint="eastAsia"/>
                <w:color w:val="FF0000"/>
                <w:u w:val="single"/>
              </w:rPr>
              <w:t>不得該過公司</w:t>
            </w:r>
            <w:proofErr w:type="gramEnd"/>
            <w:r w:rsidR="00BE664D">
              <w:rPr>
                <w:rFonts w:asciiTheme="minorEastAsia" w:eastAsiaTheme="minorEastAsia" w:hAnsiTheme="minorEastAsia" w:hint="eastAsia"/>
                <w:color w:val="FF0000"/>
                <w:u w:val="single"/>
              </w:rPr>
              <w:t>淨值之百分之二十。</w:t>
            </w:r>
            <w:r w:rsidR="00BE664D">
              <w:rPr>
                <w:rFonts w:asciiTheme="minorEastAsia" w:eastAsiaTheme="minorEastAsia" w:hAnsiTheme="minorEastAsia"/>
                <w:color w:val="FF0000"/>
                <w:u w:val="single"/>
              </w:rPr>
              <w:br/>
              <w:t>3.</w:t>
            </w:r>
            <w:r w:rsidRPr="00D13190">
              <w:rPr>
                <w:rFonts w:ascii="新細明體" w:hAnsi="新細明體" w:hint="eastAsia"/>
                <w:color w:val="FF0000"/>
                <w:u w:val="single"/>
              </w:rPr>
              <w:t>前揭股票轉讓之對象及投資有價證券之原始取得成本總額符合</w:t>
            </w:r>
            <w:r w:rsidRPr="00D13190">
              <w:rPr>
                <w:color w:val="FF0000"/>
                <w:u w:val="single"/>
              </w:rPr>
              <w:t>105</w:t>
            </w:r>
            <w:r w:rsidRPr="00D13190">
              <w:rPr>
                <w:rFonts w:hint="eastAsia"/>
                <w:color w:val="FF0000"/>
                <w:u w:val="single"/>
              </w:rPr>
              <w:t>年</w:t>
            </w:r>
            <w:r w:rsidRPr="00D13190">
              <w:rPr>
                <w:color w:val="FF0000"/>
                <w:u w:val="single"/>
              </w:rPr>
              <w:t>1</w:t>
            </w:r>
            <w:r w:rsidRPr="00D13190">
              <w:rPr>
                <w:rFonts w:hint="eastAsia"/>
                <w:color w:val="FF0000"/>
                <w:u w:val="single"/>
              </w:rPr>
              <w:t>月</w:t>
            </w:r>
            <w:r w:rsidRPr="00D13190">
              <w:rPr>
                <w:color w:val="FF0000"/>
                <w:u w:val="single"/>
              </w:rPr>
              <w:t>27</w:t>
            </w:r>
            <w:r w:rsidRPr="00D13190">
              <w:rPr>
                <w:rFonts w:hint="eastAsia"/>
                <w:color w:val="FF0000"/>
                <w:u w:val="single"/>
              </w:rPr>
              <w:t>日金管證券字第</w:t>
            </w:r>
            <w:r w:rsidRPr="00D13190">
              <w:rPr>
                <w:color w:val="FF0000"/>
                <w:u w:val="single"/>
              </w:rPr>
              <w:t>1050001410</w:t>
            </w:r>
            <w:r w:rsidRPr="00D13190">
              <w:rPr>
                <w:rFonts w:hint="eastAsia"/>
                <w:color w:val="FF0000"/>
                <w:u w:val="single"/>
              </w:rPr>
              <w:t>號令之規定。</w:t>
            </w:r>
          </w:p>
          <w:p w:rsidR="00602AD2" w:rsidRDefault="00602AD2" w:rsidP="00EA5338">
            <w:pPr>
              <w:pStyle w:val="ab"/>
              <w:numPr>
                <w:ilvl w:val="0"/>
                <w:numId w:val="6"/>
              </w:numPr>
              <w:adjustRightInd/>
              <w:snapToGrid w:val="0"/>
              <w:spacing w:line="400" w:lineRule="exact"/>
              <w:ind w:leftChars="0" w:left="822" w:hanging="567"/>
              <w:jc w:val="both"/>
              <w:textAlignment w:val="auto"/>
              <w:rPr>
                <w:rFonts w:ascii="新細明體" w:hAnsi="新細明體"/>
                <w:color w:val="000000"/>
                <w:spacing w:val="10"/>
              </w:rPr>
            </w:pPr>
            <w:r w:rsidRPr="00602AD2">
              <w:rPr>
                <w:rFonts w:ascii="新細明體" w:hAnsi="新細明體" w:hint="eastAsia"/>
                <w:color w:val="000000"/>
                <w:spacing w:val="10"/>
              </w:rPr>
              <w:t>公司除由金融機構兼營者另依有關法令規定外，非經主管機關核准，不得為任何保證人、票據轉讓之背書或提供財產供他人設定擔保。</w:t>
            </w:r>
          </w:p>
          <w:p w:rsidR="00602AD2" w:rsidRDefault="00602AD2" w:rsidP="00EA5338">
            <w:pPr>
              <w:pStyle w:val="ab"/>
              <w:numPr>
                <w:ilvl w:val="0"/>
                <w:numId w:val="6"/>
              </w:numPr>
              <w:adjustRightInd/>
              <w:snapToGrid w:val="0"/>
              <w:spacing w:line="400" w:lineRule="exact"/>
              <w:ind w:leftChars="0" w:left="822" w:hanging="567"/>
              <w:jc w:val="both"/>
              <w:textAlignment w:val="auto"/>
              <w:rPr>
                <w:rFonts w:ascii="新細明體" w:hAnsi="新細明體"/>
                <w:color w:val="000000"/>
                <w:spacing w:val="10"/>
              </w:rPr>
            </w:pPr>
            <w:r w:rsidRPr="00602AD2">
              <w:rPr>
                <w:rFonts w:ascii="新細明體" w:hAnsi="新細明體" w:hint="eastAsia"/>
                <w:color w:val="000000"/>
                <w:spacing w:val="10"/>
              </w:rPr>
              <w:t>公司除由金融機構兼營者另依有關法令規定外，不得購置非營業用之不動產。但公司因</w:t>
            </w:r>
            <w:r w:rsidR="006B580C">
              <w:rPr>
                <w:rFonts w:ascii="新細明體" w:hAnsi="新細明體" w:hint="eastAsia"/>
                <w:color w:val="000000"/>
                <w:spacing w:val="10"/>
              </w:rPr>
              <w:t>合併、受讓、裁撤分支機構、營業處所變更或縮減、因經營業務或經主管機關</w:t>
            </w:r>
            <w:r w:rsidRPr="00602AD2">
              <w:rPr>
                <w:rFonts w:ascii="新細明體" w:hAnsi="新細明體" w:hint="eastAsia"/>
                <w:color w:val="000000"/>
                <w:spacing w:val="10"/>
              </w:rPr>
              <w:t>核准而持有非營業用不動產者，不在此限；所持有營業用不動產及設備總額及非營業用不動產總額合計不得超過其資產總額之百分之六十。</w:t>
            </w:r>
          </w:p>
          <w:p w:rsidR="00602AD2" w:rsidRDefault="006B580C" w:rsidP="00EA5338">
            <w:pPr>
              <w:pStyle w:val="ab"/>
              <w:numPr>
                <w:ilvl w:val="0"/>
                <w:numId w:val="6"/>
              </w:numPr>
              <w:adjustRightInd/>
              <w:snapToGrid w:val="0"/>
              <w:spacing w:line="400" w:lineRule="exact"/>
              <w:ind w:leftChars="0" w:left="822" w:hanging="567"/>
              <w:jc w:val="both"/>
              <w:textAlignment w:val="auto"/>
              <w:rPr>
                <w:rFonts w:ascii="新細明體" w:hAnsi="新細明體"/>
                <w:color w:val="000000"/>
                <w:spacing w:val="10"/>
              </w:rPr>
            </w:pPr>
            <w:r>
              <w:rPr>
                <w:rFonts w:ascii="新細明體" w:hAnsi="新細明體" w:hint="eastAsia"/>
                <w:color w:val="000000"/>
                <w:spacing w:val="10"/>
              </w:rPr>
              <w:t>公司除由金融機構兼營者外，不得向非金融保險機構借款，但</w:t>
            </w:r>
            <w:r w:rsidR="00714E46">
              <w:rPr>
                <w:rFonts w:ascii="新細明體" w:hAnsi="新細明體" w:hint="eastAsia"/>
                <w:color w:val="000000"/>
                <w:spacing w:val="10"/>
              </w:rPr>
              <w:t>發</w:t>
            </w:r>
            <w:r w:rsidR="00714E46">
              <w:rPr>
                <w:rFonts w:ascii="新細明體" w:hAnsi="新細明體"/>
                <w:color w:val="000000"/>
                <w:spacing w:val="10"/>
              </w:rPr>
              <w:t>行</w:t>
            </w:r>
            <w:r w:rsidR="00602AD2" w:rsidRPr="00602AD2">
              <w:rPr>
                <w:rFonts w:ascii="新細明體" w:hAnsi="新細明體"/>
                <w:color w:val="000000"/>
                <w:spacing w:val="10"/>
              </w:rPr>
              <w:t>商業本票、發行公司債、為因應公司緊急資金週轉等</w:t>
            </w:r>
            <w:r w:rsidR="00602AD2" w:rsidRPr="00602AD2">
              <w:rPr>
                <w:rFonts w:ascii="新細明體" w:hAnsi="新細明體" w:hint="eastAsia"/>
                <w:color w:val="000000"/>
                <w:spacing w:val="10"/>
              </w:rPr>
              <w:t>情事不在此限，公司為</w:t>
            </w:r>
            <w:r>
              <w:rPr>
                <w:rFonts w:ascii="新細明體" w:hAnsi="新細明體" w:hint="eastAsia"/>
                <w:color w:val="000000"/>
                <w:spacing w:val="10"/>
              </w:rPr>
              <w:t>因應緊急</w:t>
            </w:r>
            <w:r w:rsidR="00602AD2" w:rsidRPr="00602AD2">
              <w:rPr>
                <w:rFonts w:ascii="新細明體" w:hAnsi="新細明體" w:hint="eastAsia"/>
                <w:color w:val="000000"/>
                <w:spacing w:val="10"/>
              </w:rPr>
              <w:t>資金週轉</w:t>
            </w:r>
            <w:r>
              <w:rPr>
                <w:rFonts w:ascii="新細明體" w:hAnsi="新細明體" w:hint="eastAsia"/>
                <w:color w:val="000000"/>
                <w:spacing w:val="10"/>
              </w:rPr>
              <w:t>而</w:t>
            </w:r>
            <w:r w:rsidR="00602AD2" w:rsidRPr="00602AD2">
              <w:rPr>
                <w:rFonts w:ascii="新細明體" w:hAnsi="新細明體" w:hint="eastAsia"/>
                <w:color w:val="000000"/>
                <w:spacing w:val="10"/>
              </w:rPr>
              <w:t>向非金融保險機構借款，應於事實發生之日起二日內向主管機關申報。</w:t>
            </w:r>
          </w:p>
          <w:p w:rsidR="005D39DA" w:rsidRPr="00602AD2" w:rsidRDefault="005D39DA" w:rsidP="00EA5338">
            <w:pPr>
              <w:pStyle w:val="ab"/>
              <w:adjustRightInd/>
              <w:snapToGrid w:val="0"/>
              <w:spacing w:line="400" w:lineRule="exact"/>
              <w:ind w:leftChars="0" w:left="822"/>
              <w:jc w:val="both"/>
              <w:textAlignment w:val="auto"/>
              <w:rPr>
                <w:rFonts w:ascii="新細明體" w:hAnsi="新細明體"/>
                <w:color w:val="000000"/>
                <w:spacing w:val="10"/>
              </w:rPr>
            </w:pPr>
          </w:p>
          <w:p w:rsidR="00C61EC7" w:rsidRPr="00C80B9D" w:rsidRDefault="00165371" w:rsidP="00EA5338">
            <w:pPr>
              <w:pStyle w:val="ab"/>
              <w:numPr>
                <w:ilvl w:val="1"/>
                <w:numId w:val="2"/>
              </w:numPr>
              <w:tabs>
                <w:tab w:val="left" w:pos="527"/>
              </w:tabs>
              <w:spacing w:line="400" w:lineRule="exact"/>
              <w:ind w:leftChars="0" w:rightChars="47" w:right="113" w:hanging="1123"/>
              <w:jc w:val="both"/>
              <w:rPr>
                <w:rFonts w:ascii="新細明體"/>
                <w:color w:val="000000"/>
                <w:spacing w:val="10"/>
              </w:rPr>
            </w:pPr>
            <w:r w:rsidRPr="00C80B9D">
              <w:rPr>
                <w:rFonts w:ascii="新細明體" w:hint="eastAsia"/>
                <w:color w:val="000000"/>
                <w:spacing w:val="10"/>
              </w:rPr>
              <w:lastRenderedPageBreak/>
              <w:t>經營業務之控</w:t>
            </w:r>
            <w:r w:rsidRPr="00C80B9D">
              <w:rPr>
                <w:rFonts w:ascii="新細明體"/>
                <w:color w:val="000000"/>
                <w:spacing w:val="10"/>
              </w:rPr>
              <w:t>管</w:t>
            </w:r>
            <w:r w:rsidR="00C61EC7" w:rsidRPr="00C80B9D">
              <w:rPr>
                <w:rFonts w:ascii="新細明體" w:hint="eastAsia"/>
                <w:color w:val="000000"/>
                <w:spacing w:val="10"/>
              </w:rPr>
              <w:t>作業：</w:t>
            </w:r>
          </w:p>
          <w:p w:rsidR="00C61EC7" w:rsidRPr="00C80B9D" w:rsidRDefault="00C61EC7" w:rsidP="00EA5338">
            <w:pPr>
              <w:pStyle w:val="ab"/>
              <w:numPr>
                <w:ilvl w:val="0"/>
                <w:numId w:val="10"/>
              </w:numPr>
              <w:adjustRightInd/>
              <w:snapToGrid w:val="0"/>
              <w:spacing w:line="400" w:lineRule="exact"/>
              <w:ind w:leftChars="105" w:left="819" w:hangingChars="218" w:hanging="567"/>
              <w:jc w:val="both"/>
              <w:textAlignment w:val="auto"/>
              <w:rPr>
                <w:rFonts w:ascii="新細明體" w:hAnsi="新細明體"/>
                <w:color w:val="000000"/>
                <w:spacing w:val="10"/>
              </w:rPr>
            </w:pPr>
            <w:r w:rsidRPr="00C80B9D">
              <w:rPr>
                <w:rFonts w:ascii="新細明體" w:hAnsi="新細明體" w:hint="eastAsia"/>
                <w:color w:val="000000"/>
                <w:spacing w:val="10"/>
              </w:rPr>
              <w:t>公司應</w:t>
            </w:r>
            <w:proofErr w:type="gramStart"/>
            <w:r w:rsidRPr="00C80B9D">
              <w:rPr>
                <w:rFonts w:ascii="新細明體" w:hAnsi="新細明體" w:hint="eastAsia"/>
                <w:color w:val="000000"/>
                <w:spacing w:val="10"/>
              </w:rPr>
              <w:t>採單一募</w:t>
            </w:r>
            <w:proofErr w:type="gramEnd"/>
            <w:r w:rsidRPr="00C80B9D">
              <w:rPr>
                <w:rFonts w:ascii="新細明體" w:hAnsi="新細明體" w:hint="eastAsia"/>
                <w:color w:val="000000"/>
                <w:spacing w:val="10"/>
              </w:rPr>
              <w:t>資平台方式</w:t>
            </w:r>
            <w:r w:rsidR="00164CAF">
              <w:rPr>
                <w:rFonts w:ascii="新細明體" w:hAnsi="新細明體" w:hint="eastAsia"/>
                <w:color w:val="000000"/>
                <w:spacing w:val="10"/>
              </w:rPr>
              <w:t>專營</w:t>
            </w:r>
            <w:r w:rsidR="00164CAF">
              <w:rPr>
                <w:rFonts w:ascii="新細明體" w:hAnsi="新細明體"/>
                <w:color w:val="000000"/>
                <w:spacing w:val="10"/>
              </w:rPr>
              <w:t>股權性質群眾募資業務</w:t>
            </w:r>
            <w:r w:rsidRPr="00C80B9D">
              <w:rPr>
                <w:rFonts w:ascii="新細明體" w:hAnsi="新細明體" w:hint="eastAsia"/>
                <w:color w:val="000000"/>
                <w:spacing w:val="10"/>
              </w:rPr>
              <w:t>。</w:t>
            </w:r>
          </w:p>
          <w:p w:rsidR="00C61EC7" w:rsidRPr="00C80B9D" w:rsidRDefault="00C61EC7" w:rsidP="00EA5338">
            <w:pPr>
              <w:pStyle w:val="ab"/>
              <w:numPr>
                <w:ilvl w:val="0"/>
                <w:numId w:val="10"/>
              </w:numPr>
              <w:adjustRightInd/>
              <w:snapToGrid w:val="0"/>
              <w:spacing w:line="400" w:lineRule="exact"/>
              <w:ind w:leftChars="105" w:left="819" w:hangingChars="218" w:hanging="567"/>
              <w:jc w:val="both"/>
              <w:textAlignment w:val="auto"/>
              <w:rPr>
                <w:rFonts w:ascii="新細明體" w:hAnsi="新細明體"/>
                <w:color w:val="000000"/>
                <w:spacing w:val="10"/>
              </w:rPr>
            </w:pPr>
            <w:r w:rsidRPr="00C80B9D">
              <w:rPr>
                <w:rFonts w:ascii="新細明體" w:hAnsi="新細明體" w:hint="eastAsia"/>
                <w:color w:val="000000"/>
                <w:spacing w:val="10"/>
              </w:rPr>
              <w:t>公司經營股權性質群眾募資業務，不得有下列行為：</w:t>
            </w:r>
          </w:p>
          <w:p w:rsidR="00C61EC7" w:rsidRPr="00C80B9D" w:rsidRDefault="00C61EC7" w:rsidP="00EA5338">
            <w:pPr>
              <w:pStyle w:val="ab"/>
              <w:numPr>
                <w:ilvl w:val="0"/>
                <w:numId w:val="11"/>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受理</w:t>
            </w:r>
            <w:r w:rsidR="00196B3E">
              <w:rPr>
                <w:rFonts w:ascii="新細明體" w:hAnsi="新細明體" w:hint="eastAsia"/>
                <w:color w:val="000000"/>
                <w:spacing w:val="10"/>
              </w:rPr>
              <w:t>募資公司</w:t>
            </w:r>
            <w:r w:rsidRPr="00C80B9D">
              <w:rPr>
                <w:rFonts w:ascii="新細明體" w:hAnsi="新細明體" w:hint="eastAsia"/>
                <w:color w:val="000000"/>
                <w:spacing w:val="10"/>
              </w:rPr>
              <w:t>辦理股權募資涉及違反法令規定或公序</w:t>
            </w:r>
            <w:proofErr w:type="gramStart"/>
            <w:r w:rsidRPr="00C80B9D">
              <w:rPr>
                <w:rFonts w:ascii="新細明體" w:hAnsi="新細明體" w:hint="eastAsia"/>
                <w:color w:val="000000"/>
                <w:spacing w:val="10"/>
              </w:rPr>
              <w:t>良俗等具</w:t>
            </w:r>
            <w:proofErr w:type="gramEnd"/>
            <w:r w:rsidRPr="00C80B9D">
              <w:rPr>
                <w:rFonts w:ascii="新細明體" w:hAnsi="新細明體" w:hint="eastAsia"/>
                <w:color w:val="000000"/>
                <w:spacing w:val="10"/>
              </w:rPr>
              <w:t>爭議性之資金運用項目。</w:t>
            </w:r>
          </w:p>
          <w:p w:rsidR="00C61EC7" w:rsidRPr="00C86290" w:rsidRDefault="00C61EC7" w:rsidP="00EA5338">
            <w:pPr>
              <w:pStyle w:val="ab"/>
              <w:adjustRightInd/>
              <w:snapToGrid w:val="0"/>
              <w:spacing w:line="400" w:lineRule="exact"/>
              <w:ind w:leftChars="0" w:left="960"/>
              <w:jc w:val="both"/>
              <w:textAlignment w:val="auto"/>
              <w:rPr>
                <w:rFonts w:ascii="新細明體" w:hAnsi="新細明體"/>
                <w:strike/>
                <w:color w:val="FF0000"/>
                <w:spacing w:val="10"/>
              </w:rPr>
            </w:pPr>
            <w:r w:rsidRPr="00C86290">
              <w:rPr>
                <w:rFonts w:ascii="新細明體" w:hAnsi="新細明體" w:hint="eastAsia"/>
                <w:strike/>
                <w:color w:val="FF0000"/>
                <w:spacing w:val="10"/>
              </w:rPr>
              <w:t>參與認購</w:t>
            </w:r>
            <w:proofErr w:type="gramStart"/>
            <w:r w:rsidRPr="00C86290">
              <w:rPr>
                <w:rFonts w:ascii="新細明體" w:hAnsi="新細明體" w:hint="eastAsia"/>
                <w:strike/>
                <w:color w:val="FF0000"/>
                <w:spacing w:val="10"/>
              </w:rPr>
              <w:t>於其募資</w:t>
            </w:r>
            <w:proofErr w:type="gramEnd"/>
            <w:r w:rsidRPr="00C86290">
              <w:rPr>
                <w:rFonts w:ascii="新細明體" w:hAnsi="新細明體" w:hint="eastAsia"/>
                <w:strike/>
                <w:color w:val="FF0000"/>
                <w:spacing w:val="10"/>
              </w:rPr>
              <w:t>平台辦理股權募資之</w:t>
            </w:r>
            <w:r w:rsidR="00196B3E" w:rsidRPr="00C86290">
              <w:rPr>
                <w:rFonts w:ascii="新細明體" w:hAnsi="新細明體" w:hint="eastAsia"/>
                <w:strike/>
                <w:color w:val="FF0000"/>
                <w:spacing w:val="10"/>
              </w:rPr>
              <w:t>募資公司</w:t>
            </w:r>
            <w:r w:rsidRPr="00C86290">
              <w:rPr>
                <w:rFonts w:ascii="新細明體" w:hAnsi="新細明體" w:hint="eastAsia"/>
                <w:strike/>
                <w:color w:val="FF0000"/>
                <w:spacing w:val="10"/>
              </w:rPr>
              <w:t>股票。</w:t>
            </w:r>
          </w:p>
          <w:p w:rsidR="00C61EC7" w:rsidRPr="00C86290" w:rsidRDefault="00C61EC7" w:rsidP="00EA5338">
            <w:pPr>
              <w:pStyle w:val="ab"/>
              <w:adjustRightInd/>
              <w:snapToGrid w:val="0"/>
              <w:spacing w:line="400" w:lineRule="exact"/>
              <w:ind w:leftChars="0" w:left="960"/>
              <w:jc w:val="both"/>
              <w:textAlignment w:val="auto"/>
              <w:rPr>
                <w:rFonts w:ascii="新細明體" w:hAnsi="新細明體"/>
                <w:strike/>
                <w:color w:val="FF0000"/>
                <w:spacing w:val="10"/>
              </w:rPr>
            </w:pPr>
            <w:r w:rsidRPr="00C86290">
              <w:rPr>
                <w:rFonts w:ascii="新細明體" w:hAnsi="新細明體" w:hint="eastAsia"/>
                <w:strike/>
                <w:color w:val="FF0000"/>
                <w:spacing w:val="10"/>
              </w:rPr>
              <w:t>向參與股權募資之投資人收取任何費用。</w:t>
            </w:r>
          </w:p>
          <w:p w:rsidR="00C61EC7" w:rsidRPr="00C86290" w:rsidRDefault="00C61EC7" w:rsidP="00EA5338">
            <w:pPr>
              <w:pStyle w:val="ab"/>
              <w:adjustRightInd/>
              <w:snapToGrid w:val="0"/>
              <w:spacing w:line="400" w:lineRule="exact"/>
              <w:ind w:leftChars="0" w:left="960"/>
              <w:jc w:val="both"/>
              <w:textAlignment w:val="auto"/>
              <w:rPr>
                <w:rFonts w:ascii="新細明體" w:hAnsi="新細明體"/>
                <w:strike/>
                <w:color w:val="FF0000"/>
                <w:spacing w:val="10"/>
              </w:rPr>
            </w:pPr>
            <w:r w:rsidRPr="00C86290">
              <w:rPr>
                <w:rFonts w:ascii="新細明體" w:hAnsi="新細明體" w:hint="eastAsia"/>
                <w:strike/>
                <w:color w:val="FF0000"/>
                <w:spacing w:val="10"/>
              </w:rPr>
              <w:t>向</w:t>
            </w:r>
            <w:r w:rsidR="00164CAF" w:rsidRPr="00C86290">
              <w:rPr>
                <w:rFonts w:ascii="新細明體" w:hAnsi="新細明體" w:hint="eastAsia"/>
                <w:strike/>
                <w:color w:val="FF0000"/>
                <w:spacing w:val="10"/>
              </w:rPr>
              <w:t>不</w:t>
            </w:r>
            <w:r w:rsidR="00164CAF" w:rsidRPr="00C86290">
              <w:rPr>
                <w:rFonts w:ascii="新細明體" w:hAnsi="新細明體"/>
                <w:strike/>
                <w:color w:val="FF0000"/>
                <w:spacing w:val="10"/>
              </w:rPr>
              <w:t>特定</w:t>
            </w:r>
            <w:r w:rsidRPr="00C86290">
              <w:rPr>
                <w:rFonts w:ascii="新細明體" w:hAnsi="新細明體" w:hint="eastAsia"/>
                <w:strike/>
                <w:color w:val="FF0000"/>
                <w:spacing w:val="10"/>
              </w:rPr>
              <w:t>投資人提供</w:t>
            </w:r>
            <w:r w:rsidR="00164CAF" w:rsidRPr="00C86290">
              <w:rPr>
                <w:rFonts w:ascii="新細明體" w:hAnsi="新細明體" w:hint="eastAsia"/>
                <w:strike/>
                <w:color w:val="FF0000"/>
                <w:spacing w:val="10"/>
              </w:rPr>
              <w:t>個</w:t>
            </w:r>
            <w:r w:rsidR="00164CAF" w:rsidRPr="00C86290">
              <w:rPr>
                <w:rFonts w:ascii="新細明體" w:hAnsi="新細明體"/>
                <w:strike/>
                <w:color w:val="FF0000"/>
                <w:spacing w:val="10"/>
              </w:rPr>
              <w:t>別</w:t>
            </w:r>
            <w:r w:rsidR="004B71DF" w:rsidRPr="00C86290">
              <w:rPr>
                <w:rFonts w:ascii="新細明體" w:hAnsi="新細明體" w:hint="eastAsia"/>
                <w:strike/>
                <w:color w:val="FF0000"/>
                <w:spacing w:val="10"/>
              </w:rPr>
              <w:t>募資</w:t>
            </w:r>
            <w:r w:rsidR="00164CAF" w:rsidRPr="00C86290">
              <w:rPr>
                <w:rFonts w:ascii="新細明體" w:hAnsi="新細明體"/>
                <w:strike/>
                <w:color w:val="FF0000"/>
                <w:spacing w:val="10"/>
              </w:rPr>
              <w:t>公司股票之</w:t>
            </w:r>
            <w:r w:rsidRPr="00C86290">
              <w:rPr>
                <w:rFonts w:ascii="新細明體" w:hAnsi="新細明體" w:hint="eastAsia"/>
                <w:strike/>
                <w:color w:val="FF0000"/>
                <w:spacing w:val="10"/>
              </w:rPr>
              <w:t>投資建議或投資顧問服務。</w:t>
            </w:r>
          </w:p>
          <w:p w:rsidR="00C61EC7" w:rsidRPr="00C86290" w:rsidRDefault="00C61EC7" w:rsidP="00EA5338">
            <w:pPr>
              <w:pStyle w:val="ab"/>
              <w:adjustRightInd/>
              <w:snapToGrid w:val="0"/>
              <w:spacing w:line="400" w:lineRule="exact"/>
              <w:ind w:leftChars="0" w:left="960"/>
              <w:jc w:val="both"/>
              <w:textAlignment w:val="auto"/>
              <w:rPr>
                <w:rFonts w:ascii="新細明體" w:hAnsi="新細明體"/>
                <w:strike/>
                <w:color w:val="FF0000"/>
                <w:spacing w:val="10"/>
              </w:rPr>
            </w:pPr>
            <w:proofErr w:type="gramStart"/>
            <w:r w:rsidRPr="00C86290">
              <w:rPr>
                <w:rFonts w:ascii="新細明體" w:hAnsi="新細明體" w:hint="eastAsia"/>
                <w:strike/>
                <w:color w:val="FF0000"/>
                <w:spacing w:val="10"/>
              </w:rPr>
              <w:t>就其募資</w:t>
            </w:r>
            <w:proofErr w:type="gramEnd"/>
            <w:r w:rsidRPr="00C86290">
              <w:rPr>
                <w:rFonts w:ascii="新細明體" w:hAnsi="新細明體" w:hint="eastAsia"/>
                <w:strike/>
                <w:color w:val="FF0000"/>
                <w:spacing w:val="10"/>
              </w:rPr>
              <w:t>平台所揭示之</w:t>
            </w:r>
            <w:r w:rsidR="00164CAF" w:rsidRPr="00C86290">
              <w:rPr>
                <w:rFonts w:ascii="新細明體" w:hAnsi="新細明體" w:hint="eastAsia"/>
                <w:strike/>
                <w:color w:val="FF0000"/>
                <w:spacing w:val="10"/>
              </w:rPr>
              <w:t>個</w:t>
            </w:r>
            <w:r w:rsidR="00164CAF" w:rsidRPr="00C86290">
              <w:rPr>
                <w:rFonts w:ascii="新細明體" w:hAnsi="新細明體"/>
                <w:strike/>
                <w:color w:val="FF0000"/>
                <w:spacing w:val="10"/>
              </w:rPr>
              <w:t>別</w:t>
            </w:r>
            <w:r w:rsidR="004B71DF" w:rsidRPr="00C86290">
              <w:rPr>
                <w:rFonts w:ascii="新細明體" w:hAnsi="新細明體" w:hint="eastAsia"/>
                <w:strike/>
                <w:color w:val="FF0000"/>
                <w:spacing w:val="10"/>
              </w:rPr>
              <w:t>募</w:t>
            </w:r>
            <w:r w:rsidR="004B71DF" w:rsidRPr="00C86290">
              <w:rPr>
                <w:rFonts w:ascii="新細明體" w:hAnsi="新細明體"/>
                <w:strike/>
                <w:color w:val="FF0000"/>
                <w:spacing w:val="10"/>
              </w:rPr>
              <w:t>資</w:t>
            </w:r>
            <w:r w:rsidR="00164CAF" w:rsidRPr="00C86290">
              <w:rPr>
                <w:rFonts w:ascii="新細明體" w:hAnsi="新細明體"/>
                <w:strike/>
                <w:color w:val="FF0000"/>
                <w:spacing w:val="10"/>
              </w:rPr>
              <w:t>公司股票</w:t>
            </w:r>
            <w:r w:rsidRPr="00C86290">
              <w:rPr>
                <w:rFonts w:ascii="新細明體" w:hAnsi="新細明體" w:hint="eastAsia"/>
                <w:strike/>
                <w:color w:val="FF0000"/>
                <w:spacing w:val="10"/>
              </w:rPr>
              <w:t>進行勸誘買賣行為。</w:t>
            </w:r>
          </w:p>
          <w:p w:rsidR="00C61EC7" w:rsidRPr="00C80B9D" w:rsidRDefault="00C61EC7" w:rsidP="00EA5338">
            <w:pPr>
              <w:pStyle w:val="ab"/>
              <w:adjustRightInd/>
              <w:snapToGrid w:val="0"/>
              <w:spacing w:line="400" w:lineRule="exact"/>
              <w:ind w:leftChars="0" w:left="960"/>
              <w:jc w:val="both"/>
              <w:textAlignment w:val="auto"/>
              <w:rPr>
                <w:rFonts w:ascii="新細明體" w:hAnsi="新細明體"/>
                <w:color w:val="000000"/>
                <w:spacing w:val="10"/>
              </w:rPr>
            </w:pPr>
            <w:r w:rsidRPr="00C86290">
              <w:rPr>
                <w:rFonts w:ascii="新細明體" w:hAnsi="新細明體" w:hint="eastAsia"/>
                <w:strike/>
                <w:color w:val="FF0000"/>
                <w:spacing w:val="10"/>
              </w:rPr>
              <w:t>對於員工、代理人、中介機構或其他人因勸誘或銷售</w:t>
            </w:r>
            <w:r w:rsidR="00164CAF" w:rsidRPr="00C86290">
              <w:rPr>
                <w:rFonts w:ascii="新細明體" w:hAnsi="新細明體" w:hint="eastAsia"/>
                <w:strike/>
                <w:color w:val="FF0000"/>
                <w:spacing w:val="10"/>
              </w:rPr>
              <w:t>個</w:t>
            </w:r>
            <w:r w:rsidR="00164CAF" w:rsidRPr="00C86290">
              <w:rPr>
                <w:rFonts w:ascii="新細明體" w:hAnsi="新細明體"/>
                <w:strike/>
                <w:color w:val="FF0000"/>
                <w:spacing w:val="10"/>
              </w:rPr>
              <w:t>別</w:t>
            </w:r>
            <w:r w:rsidR="004B71DF" w:rsidRPr="00C86290">
              <w:rPr>
                <w:rFonts w:ascii="新細明體" w:hAnsi="新細明體" w:hint="eastAsia"/>
                <w:strike/>
                <w:color w:val="FF0000"/>
                <w:spacing w:val="10"/>
              </w:rPr>
              <w:t>募</w:t>
            </w:r>
            <w:r w:rsidR="004B71DF" w:rsidRPr="00C86290">
              <w:rPr>
                <w:rFonts w:ascii="新細明體" w:hAnsi="新細明體"/>
                <w:strike/>
                <w:color w:val="FF0000"/>
                <w:spacing w:val="10"/>
              </w:rPr>
              <w:t>資</w:t>
            </w:r>
            <w:r w:rsidR="00164CAF" w:rsidRPr="00C86290">
              <w:rPr>
                <w:rFonts w:ascii="新細明體" w:hAnsi="新細明體"/>
                <w:strike/>
                <w:color w:val="FF0000"/>
                <w:spacing w:val="10"/>
              </w:rPr>
              <w:t>公司股票</w:t>
            </w:r>
            <w:r w:rsidRPr="00C86290">
              <w:rPr>
                <w:rFonts w:ascii="新細明體" w:hAnsi="新細明體" w:hint="eastAsia"/>
                <w:strike/>
                <w:color w:val="FF0000"/>
                <w:spacing w:val="10"/>
              </w:rPr>
              <w:t>行為提供報酬。</w:t>
            </w:r>
          </w:p>
          <w:p w:rsidR="00C61EC7" w:rsidRPr="00C80B9D" w:rsidRDefault="00C61EC7" w:rsidP="00EA5338">
            <w:pPr>
              <w:pStyle w:val="ab"/>
              <w:numPr>
                <w:ilvl w:val="0"/>
                <w:numId w:val="11"/>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保管或運用投資人之資金或有價證券。</w:t>
            </w:r>
          </w:p>
          <w:p w:rsidR="00C61EC7" w:rsidRPr="00C80B9D" w:rsidRDefault="00C61EC7" w:rsidP="00EA5338">
            <w:pPr>
              <w:pStyle w:val="ab"/>
              <w:numPr>
                <w:ilvl w:val="0"/>
                <w:numId w:val="11"/>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公司或</w:t>
            </w:r>
            <w:r w:rsidR="00714E46">
              <w:rPr>
                <w:rFonts w:ascii="新細明體" w:hAnsi="新細明體" w:hint="eastAsia"/>
                <w:color w:val="000000"/>
                <w:spacing w:val="10"/>
              </w:rPr>
              <w:t>其</w:t>
            </w:r>
            <w:r w:rsidRPr="00C80B9D">
              <w:rPr>
                <w:rFonts w:ascii="新細明體" w:hAnsi="新細明體" w:hint="eastAsia"/>
                <w:color w:val="000000"/>
                <w:spacing w:val="10"/>
              </w:rPr>
              <w:t>內部人與</w:t>
            </w:r>
            <w:r w:rsidR="00196B3E">
              <w:rPr>
                <w:rFonts w:ascii="新細明體" w:hAnsi="新細明體" w:hint="eastAsia"/>
                <w:color w:val="000000"/>
                <w:spacing w:val="10"/>
              </w:rPr>
              <w:t>募資公司</w:t>
            </w:r>
            <w:r w:rsidRPr="00C80B9D">
              <w:rPr>
                <w:rFonts w:ascii="新細明體" w:hAnsi="新細明體" w:hint="eastAsia"/>
                <w:color w:val="000000"/>
                <w:spacing w:val="10"/>
              </w:rPr>
              <w:t>或其相關人員有不當利益之約定。</w:t>
            </w:r>
          </w:p>
          <w:p w:rsidR="00C61EC7" w:rsidRPr="00C80B9D" w:rsidRDefault="00C61EC7" w:rsidP="00EA5338">
            <w:pPr>
              <w:pStyle w:val="ab"/>
              <w:numPr>
                <w:ilvl w:val="0"/>
                <w:numId w:val="11"/>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公司或</w:t>
            </w:r>
            <w:r w:rsidR="00714E46">
              <w:rPr>
                <w:rFonts w:ascii="新細明體" w:hAnsi="新細明體" w:hint="eastAsia"/>
                <w:color w:val="000000"/>
                <w:spacing w:val="10"/>
              </w:rPr>
              <w:t>其</w:t>
            </w:r>
            <w:r w:rsidRPr="00C80B9D">
              <w:rPr>
                <w:rFonts w:ascii="新細明體" w:hAnsi="新細明體" w:hint="eastAsia"/>
                <w:color w:val="000000"/>
                <w:spacing w:val="10"/>
              </w:rPr>
              <w:t>內部人</w:t>
            </w:r>
            <w:proofErr w:type="gramStart"/>
            <w:r w:rsidRPr="00C80B9D">
              <w:rPr>
                <w:rFonts w:ascii="新細明體" w:hAnsi="新細明體" w:hint="eastAsia"/>
                <w:color w:val="000000"/>
                <w:spacing w:val="10"/>
              </w:rPr>
              <w:t>於</w:t>
            </w:r>
            <w:r w:rsidR="00037028">
              <w:rPr>
                <w:rFonts w:ascii="新細明體" w:hAnsi="新細明體" w:hint="eastAsia"/>
                <w:color w:val="000000"/>
                <w:spacing w:val="10"/>
              </w:rPr>
              <w:t>其</w:t>
            </w:r>
            <w:r w:rsidR="00037028">
              <w:rPr>
                <w:rFonts w:ascii="新細明體" w:hAnsi="新細明體"/>
                <w:color w:val="000000"/>
                <w:spacing w:val="10"/>
              </w:rPr>
              <w:t>募資</w:t>
            </w:r>
            <w:proofErr w:type="gramEnd"/>
            <w:r w:rsidR="00037028">
              <w:rPr>
                <w:rFonts w:ascii="新細明體" w:hAnsi="新細明體"/>
                <w:color w:val="000000"/>
                <w:spacing w:val="10"/>
              </w:rPr>
              <w:t>平台辦理股權募</w:t>
            </w:r>
            <w:r w:rsidR="00037028">
              <w:rPr>
                <w:rFonts w:ascii="新細明體" w:hAnsi="新細明體" w:hint="eastAsia"/>
                <w:color w:val="000000"/>
                <w:spacing w:val="10"/>
              </w:rPr>
              <w:t>資</w:t>
            </w:r>
            <w:r w:rsidR="00037028">
              <w:rPr>
                <w:rFonts w:ascii="新細明體" w:hAnsi="新細明體"/>
                <w:color w:val="000000"/>
                <w:spacing w:val="10"/>
              </w:rPr>
              <w:t>之</w:t>
            </w:r>
            <w:r w:rsidR="00196B3E">
              <w:rPr>
                <w:rFonts w:ascii="新細明體" w:hAnsi="新細明體" w:hint="eastAsia"/>
                <w:color w:val="000000"/>
                <w:spacing w:val="10"/>
              </w:rPr>
              <w:t>公司</w:t>
            </w:r>
            <w:r w:rsidRPr="00C80B9D">
              <w:rPr>
                <w:rFonts w:ascii="新細明體" w:hAnsi="新細明體" w:hint="eastAsia"/>
                <w:color w:val="000000"/>
                <w:spacing w:val="10"/>
              </w:rPr>
              <w:t>擔任董事、監察人或經理人等職務。</w:t>
            </w:r>
          </w:p>
          <w:p w:rsidR="00C61EC7" w:rsidRPr="00C86290" w:rsidRDefault="00C61EC7" w:rsidP="00EA5338">
            <w:pPr>
              <w:pStyle w:val="ab"/>
              <w:adjustRightInd/>
              <w:snapToGrid w:val="0"/>
              <w:spacing w:line="400" w:lineRule="exact"/>
              <w:ind w:leftChars="0" w:left="960"/>
              <w:jc w:val="both"/>
              <w:textAlignment w:val="auto"/>
              <w:rPr>
                <w:rFonts w:ascii="新細明體" w:hAnsi="新細明體"/>
                <w:strike/>
                <w:color w:val="000000"/>
                <w:spacing w:val="10"/>
              </w:rPr>
            </w:pPr>
            <w:r w:rsidRPr="00C86290">
              <w:rPr>
                <w:rFonts w:ascii="新細明體" w:hAnsi="新細明體" w:hint="eastAsia"/>
                <w:strike/>
                <w:color w:val="FF0000"/>
                <w:spacing w:val="10"/>
              </w:rPr>
              <w:t>為</w:t>
            </w:r>
            <w:r w:rsidR="00164CAF" w:rsidRPr="00C86290">
              <w:rPr>
                <w:rFonts w:ascii="新細明體" w:hAnsi="新細明體" w:hint="eastAsia"/>
                <w:strike/>
                <w:color w:val="FF0000"/>
                <w:spacing w:val="10"/>
              </w:rPr>
              <w:t>個</w:t>
            </w:r>
            <w:r w:rsidR="00164CAF" w:rsidRPr="00C86290">
              <w:rPr>
                <w:rFonts w:ascii="新細明體" w:hAnsi="新細明體"/>
                <w:strike/>
                <w:color w:val="FF0000"/>
                <w:spacing w:val="10"/>
              </w:rPr>
              <w:t>別</w:t>
            </w:r>
            <w:r w:rsidR="004B71DF" w:rsidRPr="00C86290">
              <w:rPr>
                <w:rFonts w:ascii="新細明體" w:hAnsi="新細明體" w:hint="eastAsia"/>
                <w:strike/>
                <w:color w:val="FF0000"/>
                <w:spacing w:val="10"/>
              </w:rPr>
              <w:t>募</w:t>
            </w:r>
            <w:r w:rsidR="004B71DF" w:rsidRPr="00C86290">
              <w:rPr>
                <w:rFonts w:ascii="新細明體" w:hAnsi="新細明體"/>
                <w:strike/>
                <w:color w:val="FF0000"/>
                <w:spacing w:val="10"/>
              </w:rPr>
              <w:t>資</w:t>
            </w:r>
            <w:r w:rsidR="00164CAF" w:rsidRPr="00C86290">
              <w:rPr>
                <w:rFonts w:ascii="新細明體" w:hAnsi="新細明體"/>
                <w:strike/>
                <w:color w:val="FF0000"/>
                <w:spacing w:val="10"/>
              </w:rPr>
              <w:t>公司股票</w:t>
            </w:r>
            <w:r w:rsidR="00714E46" w:rsidRPr="00C86290">
              <w:rPr>
                <w:rFonts w:ascii="新細明體" w:hAnsi="新細明體" w:hint="eastAsia"/>
                <w:strike/>
                <w:color w:val="FF0000"/>
                <w:spacing w:val="10"/>
              </w:rPr>
              <w:t>之招攬，而有於傳播媒體上為</w:t>
            </w:r>
            <w:r w:rsidRPr="00C86290">
              <w:rPr>
                <w:rFonts w:ascii="新細明體" w:hAnsi="新細明體" w:hint="eastAsia"/>
                <w:strike/>
                <w:color w:val="FF0000"/>
                <w:spacing w:val="10"/>
              </w:rPr>
              <w:t>廣告宣傳。</w:t>
            </w:r>
          </w:p>
          <w:p w:rsidR="00C61EC7" w:rsidRPr="00C80B9D" w:rsidRDefault="00C61EC7" w:rsidP="00EA5338">
            <w:pPr>
              <w:pStyle w:val="ab"/>
              <w:numPr>
                <w:ilvl w:val="0"/>
                <w:numId w:val="11"/>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隱匿或遺漏</w:t>
            </w:r>
            <w:proofErr w:type="gramStart"/>
            <w:r w:rsidR="00037028">
              <w:rPr>
                <w:rFonts w:ascii="新細明體" w:hAnsi="新細明體" w:hint="eastAsia"/>
                <w:color w:val="000000"/>
                <w:spacing w:val="10"/>
              </w:rPr>
              <w:t>於</w:t>
            </w:r>
            <w:r w:rsidR="00037028">
              <w:rPr>
                <w:rFonts w:ascii="新細明體" w:hAnsi="新細明體"/>
                <w:color w:val="000000"/>
                <w:spacing w:val="10"/>
              </w:rPr>
              <w:t>其募資</w:t>
            </w:r>
            <w:proofErr w:type="gramEnd"/>
            <w:r w:rsidR="00037028">
              <w:rPr>
                <w:rFonts w:ascii="新細明體" w:hAnsi="新細明體"/>
                <w:color w:val="000000"/>
                <w:spacing w:val="10"/>
              </w:rPr>
              <w:t>平台辦理股權</w:t>
            </w:r>
            <w:r w:rsidR="00196B3E">
              <w:rPr>
                <w:rFonts w:ascii="新細明體" w:hAnsi="新細明體" w:hint="eastAsia"/>
                <w:color w:val="000000"/>
                <w:spacing w:val="10"/>
              </w:rPr>
              <w:t>募資</w:t>
            </w:r>
            <w:r w:rsidR="00037028">
              <w:rPr>
                <w:rFonts w:ascii="新細明體" w:hAnsi="新細明體" w:hint="eastAsia"/>
                <w:color w:val="000000"/>
                <w:spacing w:val="10"/>
              </w:rPr>
              <w:t>之</w:t>
            </w:r>
            <w:r w:rsidR="00196B3E">
              <w:rPr>
                <w:rFonts w:ascii="新細明體" w:hAnsi="新細明體" w:hint="eastAsia"/>
                <w:color w:val="000000"/>
                <w:spacing w:val="10"/>
              </w:rPr>
              <w:t>公司</w:t>
            </w:r>
            <w:r w:rsidRPr="00C80B9D">
              <w:rPr>
                <w:rFonts w:ascii="新細明體" w:hAnsi="新細明體" w:hint="eastAsia"/>
                <w:color w:val="000000"/>
                <w:spacing w:val="10"/>
              </w:rPr>
              <w:t>之重要財務業務資訊。</w:t>
            </w:r>
          </w:p>
          <w:p w:rsidR="00C61EC7" w:rsidRPr="00C80B9D" w:rsidRDefault="00C61EC7" w:rsidP="00EA5338">
            <w:pPr>
              <w:pStyle w:val="ab"/>
              <w:numPr>
                <w:ilvl w:val="0"/>
                <w:numId w:val="11"/>
              </w:numPr>
              <w:adjustRightInd/>
              <w:snapToGrid w:val="0"/>
              <w:spacing w:line="400" w:lineRule="exact"/>
              <w:ind w:leftChars="0"/>
              <w:jc w:val="both"/>
              <w:textAlignment w:val="auto"/>
              <w:rPr>
                <w:rFonts w:ascii="新細明體" w:hAnsi="新細明體"/>
                <w:color w:val="000000"/>
                <w:spacing w:val="10"/>
              </w:rPr>
            </w:pPr>
            <w:proofErr w:type="gramStart"/>
            <w:r w:rsidRPr="00C80B9D">
              <w:rPr>
                <w:rFonts w:ascii="新細明體" w:hAnsi="新細明體" w:hint="eastAsia"/>
                <w:color w:val="000000"/>
                <w:spacing w:val="10"/>
              </w:rPr>
              <w:t>透過其募資</w:t>
            </w:r>
            <w:proofErr w:type="gramEnd"/>
            <w:r w:rsidRPr="00C80B9D">
              <w:rPr>
                <w:rFonts w:ascii="新細明體" w:hAnsi="新細明體" w:hint="eastAsia"/>
                <w:color w:val="000000"/>
                <w:spacing w:val="10"/>
              </w:rPr>
              <w:t>平台以外</w:t>
            </w:r>
            <w:r w:rsidR="00714E46">
              <w:rPr>
                <w:rFonts w:ascii="新細明體" w:hAnsi="新細明體" w:hint="eastAsia"/>
                <w:color w:val="000000"/>
                <w:spacing w:val="10"/>
              </w:rPr>
              <w:t>之</w:t>
            </w:r>
            <w:r w:rsidRPr="00C80B9D">
              <w:rPr>
                <w:rFonts w:ascii="新細明體" w:hAnsi="新細明體" w:hint="eastAsia"/>
                <w:color w:val="000000"/>
                <w:spacing w:val="10"/>
              </w:rPr>
              <w:t>通路為</w:t>
            </w:r>
            <w:r w:rsidR="00196B3E">
              <w:rPr>
                <w:rFonts w:ascii="新細明體" w:hAnsi="新細明體" w:hint="eastAsia"/>
                <w:color w:val="000000"/>
                <w:spacing w:val="10"/>
              </w:rPr>
              <w:t>募資公司</w:t>
            </w:r>
            <w:r w:rsidRPr="00C80B9D">
              <w:rPr>
                <w:rFonts w:ascii="新細明體" w:hAnsi="新細明體" w:hint="eastAsia"/>
                <w:color w:val="000000"/>
                <w:spacing w:val="10"/>
              </w:rPr>
              <w:t>進行股權募資。</w:t>
            </w:r>
          </w:p>
          <w:p w:rsidR="00C61EC7" w:rsidRPr="00C80B9D" w:rsidRDefault="00C61EC7" w:rsidP="00EA5338">
            <w:pPr>
              <w:pStyle w:val="ab"/>
              <w:numPr>
                <w:ilvl w:val="0"/>
                <w:numId w:val="11"/>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為</w:t>
            </w:r>
            <w:r w:rsidR="00196B3E">
              <w:rPr>
                <w:rFonts w:ascii="新細明體" w:hAnsi="新細明體" w:hint="eastAsia"/>
                <w:color w:val="000000"/>
                <w:spacing w:val="10"/>
              </w:rPr>
              <w:t>募資公司</w:t>
            </w:r>
            <w:r w:rsidRPr="00C80B9D">
              <w:rPr>
                <w:rFonts w:ascii="新細明體" w:hAnsi="新細明體" w:hint="eastAsia"/>
                <w:color w:val="000000"/>
                <w:spacing w:val="10"/>
              </w:rPr>
              <w:t>之</w:t>
            </w:r>
            <w:r w:rsidR="00164CAF">
              <w:rPr>
                <w:rFonts w:ascii="新細明體" w:hAnsi="新細明體" w:hint="eastAsia"/>
                <w:color w:val="000000"/>
                <w:spacing w:val="10"/>
              </w:rPr>
              <w:t>股票</w:t>
            </w:r>
            <w:r w:rsidRPr="00C80B9D">
              <w:rPr>
                <w:rFonts w:ascii="新細明體" w:hAnsi="新細明體" w:hint="eastAsia"/>
                <w:color w:val="000000"/>
                <w:spacing w:val="10"/>
              </w:rPr>
              <w:t>提供證券商營業處所買賣功能。</w:t>
            </w:r>
          </w:p>
          <w:p w:rsidR="00C61EC7" w:rsidRPr="00C80B9D" w:rsidRDefault="00C61EC7" w:rsidP="00EA5338">
            <w:pPr>
              <w:pStyle w:val="ab"/>
              <w:numPr>
                <w:ilvl w:val="0"/>
                <w:numId w:val="11"/>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其他損及投資人權益或違反相關法令規定之情事。</w:t>
            </w:r>
          </w:p>
          <w:p w:rsidR="00165371" w:rsidRPr="00C80B9D" w:rsidRDefault="00165371" w:rsidP="00EA5338">
            <w:pPr>
              <w:pStyle w:val="ab"/>
              <w:numPr>
                <w:ilvl w:val="0"/>
                <w:numId w:val="10"/>
              </w:numPr>
              <w:adjustRightInd/>
              <w:snapToGrid w:val="0"/>
              <w:spacing w:line="400" w:lineRule="exact"/>
              <w:ind w:leftChars="105" w:left="819" w:hangingChars="218" w:hanging="567"/>
              <w:jc w:val="both"/>
              <w:textAlignment w:val="auto"/>
              <w:rPr>
                <w:rFonts w:ascii="新細明體" w:hAnsi="新細明體"/>
                <w:color w:val="000000"/>
                <w:spacing w:val="10"/>
              </w:rPr>
            </w:pPr>
            <w:r w:rsidRPr="00C80B9D">
              <w:rPr>
                <w:rFonts w:ascii="新細明體" w:cs="標楷體" w:hint="eastAsia"/>
                <w:color w:val="000000"/>
                <w:spacing w:val="10"/>
                <w:kern w:val="2"/>
                <w:szCs w:val="24"/>
              </w:rPr>
              <w:t>公司於股權募資過程所知悉</w:t>
            </w:r>
            <w:r w:rsidR="00196B3E">
              <w:rPr>
                <w:rFonts w:ascii="新細明體" w:cs="標楷體" w:hint="eastAsia"/>
                <w:color w:val="000000"/>
                <w:spacing w:val="10"/>
                <w:kern w:val="2"/>
                <w:szCs w:val="24"/>
              </w:rPr>
              <w:t>募資公司</w:t>
            </w:r>
            <w:r w:rsidRPr="00C80B9D">
              <w:rPr>
                <w:rFonts w:ascii="新細明體" w:cs="標楷體" w:hint="eastAsia"/>
                <w:color w:val="000000"/>
                <w:spacing w:val="10"/>
                <w:kern w:val="2"/>
                <w:szCs w:val="24"/>
              </w:rPr>
              <w:t>財務業務上之秘密事項，應予以保密。但依據法令、主管機關要求或經當事人同意者，不在此限。</w:t>
            </w:r>
          </w:p>
          <w:p w:rsidR="00165371" w:rsidRPr="00164CAF" w:rsidRDefault="00165371" w:rsidP="00EA5338">
            <w:pPr>
              <w:pStyle w:val="ab"/>
              <w:numPr>
                <w:ilvl w:val="0"/>
                <w:numId w:val="10"/>
              </w:numPr>
              <w:adjustRightInd/>
              <w:snapToGrid w:val="0"/>
              <w:spacing w:line="400" w:lineRule="exact"/>
              <w:ind w:leftChars="105" w:left="819" w:hangingChars="218" w:hanging="567"/>
              <w:jc w:val="both"/>
              <w:textAlignment w:val="auto"/>
              <w:rPr>
                <w:rFonts w:ascii="新細明體" w:hAnsi="新細明體"/>
                <w:color w:val="000000"/>
                <w:spacing w:val="10"/>
              </w:rPr>
            </w:pPr>
            <w:r w:rsidRPr="00C80B9D">
              <w:rPr>
                <w:rFonts w:ascii="新細明體" w:cs="標楷體" w:hint="eastAsia"/>
                <w:color w:val="000000"/>
                <w:spacing w:val="10"/>
                <w:kern w:val="2"/>
                <w:szCs w:val="24"/>
              </w:rPr>
              <w:t>公司對於參與股權募資之投資人個人資料之蒐集</w:t>
            </w:r>
            <w:r w:rsidR="00164CAF">
              <w:rPr>
                <w:rFonts w:ascii="新細明體" w:cs="標楷體" w:hint="eastAsia"/>
                <w:color w:val="000000"/>
                <w:spacing w:val="10"/>
                <w:kern w:val="2"/>
                <w:szCs w:val="24"/>
              </w:rPr>
              <w:t>、</w:t>
            </w:r>
            <w:r w:rsidRPr="00C80B9D">
              <w:rPr>
                <w:rFonts w:ascii="新細明體" w:cs="標楷體" w:hint="eastAsia"/>
                <w:color w:val="000000"/>
                <w:spacing w:val="10"/>
                <w:kern w:val="2"/>
                <w:szCs w:val="24"/>
              </w:rPr>
              <w:t>利用</w:t>
            </w:r>
            <w:r w:rsidR="00164CAF">
              <w:rPr>
                <w:rFonts w:ascii="新細明體" w:cs="標楷體" w:hint="eastAsia"/>
                <w:color w:val="000000"/>
                <w:spacing w:val="10"/>
                <w:kern w:val="2"/>
                <w:szCs w:val="24"/>
              </w:rPr>
              <w:t>或</w:t>
            </w:r>
            <w:r w:rsidR="00164CAF">
              <w:rPr>
                <w:rFonts w:ascii="新細明體" w:cs="標楷體"/>
                <w:color w:val="000000"/>
                <w:spacing w:val="10"/>
                <w:kern w:val="2"/>
                <w:szCs w:val="24"/>
              </w:rPr>
              <w:t>提供主管機關</w:t>
            </w:r>
            <w:r w:rsidR="00960B95">
              <w:rPr>
                <w:rFonts w:ascii="新細明體" w:cs="標楷體" w:hint="eastAsia"/>
                <w:color w:val="000000"/>
                <w:spacing w:val="10"/>
                <w:kern w:val="2"/>
                <w:szCs w:val="24"/>
              </w:rPr>
              <w:t>及</w:t>
            </w:r>
            <w:r w:rsidR="00960B95">
              <w:rPr>
                <w:rFonts w:ascii="新細明體" w:cs="標楷體"/>
                <w:color w:val="000000"/>
                <w:spacing w:val="10"/>
                <w:kern w:val="2"/>
                <w:szCs w:val="24"/>
              </w:rPr>
              <w:t>櫃</w:t>
            </w:r>
            <w:r w:rsidR="00960B95">
              <w:rPr>
                <w:rFonts w:ascii="新細明體" w:cs="標楷體" w:hint="eastAsia"/>
                <w:color w:val="000000"/>
                <w:spacing w:val="10"/>
                <w:kern w:val="2"/>
                <w:szCs w:val="24"/>
              </w:rPr>
              <w:t>檯</w:t>
            </w:r>
            <w:r w:rsidR="00960B95">
              <w:rPr>
                <w:rFonts w:ascii="新細明體" w:cs="標楷體"/>
                <w:color w:val="000000"/>
                <w:spacing w:val="10"/>
                <w:kern w:val="2"/>
                <w:szCs w:val="24"/>
              </w:rPr>
              <w:t>買賣中心</w:t>
            </w:r>
            <w:r w:rsidR="00164CAF">
              <w:rPr>
                <w:rFonts w:ascii="新細明體" w:cs="標楷體"/>
                <w:color w:val="000000"/>
                <w:spacing w:val="10"/>
                <w:kern w:val="2"/>
                <w:szCs w:val="24"/>
              </w:rPr>
              <w:t>使用</w:t>
            </w:r>
            <w:r w:rsidRPr="00C80B9D">
              <w:rPr>
                <w:rFonts w:ascii="新細明體" w:cs="標楷體" w:hint="eastAsia"/>
                <w:color w:val="000000"/>
                <w:spacing w:val="10"/>
                <w:kern w:val="2"/>
                <w:szCs w:val="24"/>
              </w:rPr>
              <w:t>，應</w:t>
            </w:r>
            <w:r w:rsidR="00164CAF">
              <w:rPr>
                <w:rFonts w:ascii="新細明體" w:cs="標楷體" w:hint="eastAsia"/>
                <w:color w:val="000000"/>
                <w:spacing w:val="10"/>
                <w:kern w:val="2"/>
                <w:szCs w:val="24"/>
              </w:rPr>
              <w:t>符</w:t>
            </w:r>
            <w:r w:rsidR="00164CAF">
              <w:rPr>
                <w:rFonts w:ascii="新細明體" w:cs="標楷體"/>
                <w:color w:val="000000"/>
                <w:spacing w:val="10"/>
                <w:kern w:val="2"/>
                <w:szCs w:val="24"/>
              </w:rPr>
              <w:t>合</w:t>
            </w:r>
            <w:r w:rsidRPr="00C80B9D">
              <w:rPr>
                <w:rFonts w:ascii="新細明體" w:cs="標楷體" w:hint="eastAsia"/>
                <w:color w:val="000000"/>
                <w:spacing w:val="10"/>
                <w:kern w:val="2"/>
                <w:szCs w:val="24"/>
              </w:rPr>
              <w:t>個人資料保護法之規定。</w:t>
            </w:r>
          </w:p>
          <w:p w:rsidR="00164CAF" w:rsidRPr="00164CAF" w:rsidRDefault="00164CAF" w:rsidP="00EA5338">
            <w:pPr>
              <w:pStyle w:val="ab"/>
              <w:numPr>
                <w:ilvl w:val="0"/>
                <w:numId w:val="10"/>
              </w:numPr>
              <w:adjustRightInd/>
              <w:snapToGrid w:val="0"/>
              <w:spacing w:line="400" w:lineRule="exact"/>
              <w:ind w:leftChars="105" w:left="819" w:hangingChars="218" w:hanging="567"/>
              <w:jc w:val="both"/>
              <w:textAlignment w:val="auto"/>
              <w:rPr>
                <w:rFonts w:ascii="新細明體" w:cs="標楷體"/>
                <w:color w:val="000000"/>
                <w:spacing w:val="10"/>
                <w:kern w:val="2"/>
                <w:szCs w:val="24"/>
              </w:rPr>
            </w:pPr>
            <w:proofErr w:type="gramStart"/>
            <w:r w:rsidRPr="00164CAF">
              <w:rPr>
                <w:rFonts w:ascii="新細明體" w:cs="標楷體" w:hint="eastAsia"/>
                <w:color w:val="000000"/>
                <w:spacing w:val="10"/>
                <w:kern w:val="2"/>
                <w:szCs w:val="24"/>
              </w:rPr>
              <w:t>公司於募資</w:t>
            </w:r>
            <w:proofErr w:type="gramEnd"/>
            <w:r w:rsidRPr="00164CAF">
              <w:rPr>
                <w:rFonts w:ascii="新細明體" w:cs="標楷體" w:hint="eastAsia"/>
                <w:color w:val="000000"/>
                <w:spacing w:val="10"/>
                <w:kern w:val="2"/>
                <w:szCs w:val="24"/>
              </w:rPr>
              <w:t>平台辦理股權募資之有價證券，僅限於募資公司之普通股股票</w:t>
            </w:r>
            <w:r w:rsidR="00C86290" w:rsidRPr="00426C52">
              <w:rPr>
                <w:rFonts w:ascii="新細明體" w:hAnsi="新細明體" w:hint="eastAsia"/>
                <w:color w:val="FF0000"/>
                <w:u w:val="single"/>
              </w:rPr>
              <w:t>及不具債券性質之特別股股票</w:t>
            </w:r>
            <w:r w:rsidR="00C86290">
              <w:rPr>
                <w:rFonts w:ascii="新細明體" w:hAnsi="新細明體" w:hint="eastAsia"/>
              </w:rPr>
              <w:t>。</w:t>
            </w:r>
            <w:r w:rsidRPr="00164CAF">
              <w:rPr>
                <w:rFonts w:ascii="新細明體" w:cs="標楷體" w:hint="eastAsia"/>
                <w:color w:val="000000"/>
                <w:spacing w:val="10"/>
                <w:kern w:val="2"/>
                <w:szCs w:val="24"/>
              </w:rPr>
              <w:t>。</w:t>
            </w:r>
          </w:p>
          <w:p w:rsidR="00C61EC7" w:rsidRPr="00C80B9D" w:rsidRDefault="00C61EC7" w:rsidP="00EA5338">
            <w:pPr>
              <w:pStyle w:val="ab"/>
              <w:numPr>
                <w:ilvl w:val="0"/>
                <w:numId w:val="10"/>
              </w:numPr>
              <w:adjustRightInd/>
              <w:snapToGrid w:val="0"/>
              <w:spacing w:line="400" w:lineRule="exact"/>
              <w:ind w:leftChars="105" w:left="819" w:hangingChars="218" w:hanging="567"/>
              <w:jc w:val="both"/>
              <w:textAlignment w:val="auto"/>
              <w:rPr>
                <w:rFonts w:ascii="新細明體" w:hAnsi="新細明體"/>
                <w:color w:val="000000"/>
                <w:spacing w:val="10"/>
              </w:rPr>
            </w:pPr>
            <w:r w:rsidRPr="00C80B9D">
              <w:rPr>
                <w:rFonts w:ascii="新細明體" w:hAnsi="新細明體" w:hint="eastAsia"/>
                <w:color w:val="000000"/>
                <w:spacing w:val="10"/>
              </w:rPr>
              <w:t>公司僅得受理實收資本額新臺幣三千萬元以下之</w:t>
            </w:r>
            <w:r w:rsidR="00196B3E">
              <w:rPr>
                <w:rFonts w:ascii="新細明體" w:hAnsi="新細明體" w:hint="eastAsia"/>
                <w:color w:val="000000"/>
                <w:spacing w:val="10"/>
              </w:rPr>
              <w:t>募資</w:t>
            </w:r>
            <w:proofErr w:type="gramStart"/>
            <w:r w:rsidR="00196B3E">
              <w:rPr>
                <w:rFonts w:ascii="新細明體" w:hAnsi="新細明體" w:hint="eastAsia"/>
                <w:color w:val="000000"/>
                <w:spacing w:val="10"/>
              </w:rPr>
              <w:t>公司</w:t>
            </w:r>
            <w:r w:rsidRPr="00C80B9D">
              <w:rPr>
                <w:rFonts w:ascii="新細明體" w:hAnsi="新細明體" w:hint="eastAsia"/>
                <w:color w:val="000000"/>
                <w:spacing w:val="10"/>
              </w:rPr>
              <w:t>於募資</w:t>
            </w:r>
            <w:proofErr w:type="gramEnd"/>
            <w:r w:rsidRPr="00C80B9D">
              <w:rPr>
                <w:rFonts w:ascii="新細明體" w:hAnsi="新細明體" w:hint="eastAsia"/>
                <w:color w:val="000000"/>
                <w:spacing w:val="10"/>
              </w:rPr>
              <w:t>平台辦理股權募資，且應</w:t>
            </w:r>
            <w:r w:rsidR="00E511FC" w:rsidRPr="00164CAF">
              <w:rPr>
                <w:rFonts w:ascii="新細明體" w:hAnsi="新細明體" w:hint="eastAsia"/>
                <w:color w:val="000000"/>
                <w:spacing w:val="10"/>
              </w:rPr>
              <w:t>逐</w:t>
            </w:r>
            <w:r w:rsidR="00E511FC" w:rsidRPr="00164CAF">
              <w:rPr>
                <w:rFonts w:ascii="新細明體" w:hAnsi="新細明體"/>
                <w:color w:val="000000"/>
                <w:spacing w:val="10"/>
              </w:rPr>
              <w:t>案</w:t>
            </w:r>
            <w:r w:rsidRPr="00C80B9D">
              <w:rPr>
                <w:rFonts w:ascii="新細明體" w:hAnsi="新細明體" w:hint="eastAsia"/>
                <w:color w:val="000000"/>
                <w:spacing w:val="10"/>
              </w:rPr>
              <w:t>與</w:t>
            </w:r>
            <w:r w:rsidR="00196B3E">
              <w:rPr>
                <w:rFonts w:ascii="新細明體" w:hAnsi="新細明體" w:hint="eastAsia"/>
                <w:color w:val="000000"/>
                <w:spacing w:val="10"/>
              </w:rPr>
              <w:t>募資公司</w:t>
            </w:r>
            <w:r w:rsidRPr="00C80B9D">
              <w:rPr>
                <w:rFonts w:ascii="新細明體" w:hAnsi="新細明體" w:hint="eastAsia"/>
                <w:color w:val="000000"/>
                <w:spacing w:val="10"/>
              </w:rPr>
              <w:t>簽訂契約。</w:t>
            </w:r>
          </w:p>
          <w:p w:rsidR="00BE1019" w:rsidRPr="00C80B9D" w:rsidRDefault="00C61EC7" w:rsidP="00EA5338">
            <w:pPr>
              <w:spacing w:line="400" w:lineRule="exact"/>
              <w:ind w:left="840" w:right="92"/>
              <w:jc w:val="both"/>
              <w:rPr>
                <w:rFonts w:ascii="新細明體"/>
                <w:spacing w:val="10"/>
              </w:rPr>
            </w:pPr>
            <w:r w:rsidRPr="00C80B9D">
              <w:rPr>
                <w:rFonts w:ascii="新細明體" w:hAnsi="新細明體" w:hint="eastAsia"/>
                <w:color w:val="000000"/>
                <w:spacing w:val="10"/>
              </w:rPr>
              <w:t>前</w:t>
            </w:r>
            <w:r w:rsidR="00165371" w:rsidRPr="00C80B9D">
              <w:rPr>
                <w:rFonts w:ascii="新細明體" w:hAnsi="新細明體" w:hint="eastAsia"/>
                <w:color w:val="000000"/>
                <w:spacing w:val="10"/>
              </w:rPr>
              <w:t>揭</w:t>
            </w:r>
            <w:r w:rsidRPr="00C80B9D">
              <w:rPr>
                <w:rFonts w:ascii="新細明體" w:hAnsi="新細明體" w:hint="eastAsia"/>
                <w:color w:val="000000"/>
                <w:spacing w:val="10"/>
              </w:rPr>
              <w:t>契約應依</w:t>
            </w:r>
            <w:r w:rsidR="00BE1019" w:rsidRPr="00C80B9D">
              <w:rPr>
                <w:rFonts w:ascii="新細明體" w:hAnsi="新細明體" w:hint="eastAsia"/>
                <w:color w:val="000000"/>
                <w:spacing w:val="10"/>
              </w:rPr>
              <w:t>「</w:t>
            </w:r>
            <w:r w:rsidR="000B1767">
              <w:rPr>
                <w:rFonts w:ascii="新細明體" w:hAnsi="新細明體" w:hint="eastAsia"/>
                <w:spacing w:val="10"/>
              </w:rPr>
              <w:t>證券商經營股權性質群眾募資管理辦法</w:t>
            </w:r>
            <w:r w:rsidR="00BE1019" w:rsidRPr="00C80B9D">
              <w:rPr>
                <w:rFonts w:ascii="新細明體" w:hAnsi="新細明體" w:hint="eastAsia"/>
                <w:spacing w:val="10"/>
              </w:rPr>
              <w:t>」</w:t>
            </w:r>
          </w:p>
          <w:p w:rsidR="00C61EC7" w:rsidRPr="00C80B9D" w:rsidRDefault="00C61EC7" w:rsidP="00EA5338">
            <w:pPr>
              <w:pStyle w:val="ab"/>
              <w:adjustRightInd/>
              <w:snapToGrid w:val="0"/>
              <w:spacing w:line="400" w:lineRule="exact"/>
              <w:ind w:leftChars="0" w:left="819"/>
              <w:jc w:val="both"/>
              <w:textAlignment w:val="auto"/>
              <w:rPr>
                <w:rFonts w:ascii="新細明體" w:hAnsi="新細明體"/>
                <w:color w:val="000000"/>
                <w:spacing w:val="10"/>
              </w:rPr>
            </w:pPr>
            <w:r w:rsidRPr="00C80B9D">
              <w:rPr>
                <w:rFonts w:ascii="新細明體" w:hAnsi="新細明體" w:hint="eastAsia"/>
                <w:color w:val="000000"/>
                <w:spacing w:val="10"/>
              </w:rPr>
              <w:t>規定明訂雙方之權利義務，應含以下項目：</w:t>
            </w:r>
          </w:p>
          <w:p w:rsidR="00C61EC7" w:rsidRPr="00C80B9D" w:rsidRDefault="00C61EC7" w:rsidP="00EA5338">
            <w:pPr>
              <w:pStyle w:val="ab"/>
              <w:numPr>
                <w:ilvl w:val="0"/>
                <w:numId w:val="12"/>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收費標準(不得以任何實質或形式辦理退</w:t>
            </w:r>
            <w:proofErr w:type="gramStart"/>
            <w:r w:rsidRPr="00C80B9D">
              <w:rPr>
                <w:rFonts w:ascii="新細明體" w:hAnsi="新細明體" w:hint="eastAsia"/>
                <w:color w:val="000000"/>
                <w:spacing w:val="10"/>
              </w:rPr>
              <w:t>佣</w:t>
            </w:r>
            <w:proofErr w:type="gramEnd"/>
            <w:r w:rsidRPr="00C80B9D">
              <w:rPr>
                <w:rFonts w:ascii="新細明體" w:hAnsi="新細明體" w:hint="eastAsia"/>
                <w:color w:val="000000"/>
                <w:spacing w:val="10"/>
              </w:rPr>
              <w:t>)。</w:t>
            </w:r>
          </w:p>
          <w:p w:rsidR="00C61EC7" w:rsidRPr="00C80B9D" w:rsidRDefault="00C61EC7" w:rsidP="00EA5338">
            <w:pPr>
              <w:pStyle w:val="ab"/>
              <w:numPr>
                <w:ilvl w:val="0"/>
                <w:numId w:val="12"/>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違約之處置方式。</w:t>
            </w:r>
          </w:p>
          <w:p w:rsidR="00C61EC7" w:rsidRPr="008E537B" w:rsidRDefault="00C61EC7" w:rsidP="00EA5338">
            <w:pPr>
              <w:pStyle w:val="ab"/>
              <w:numPr>
                <w:ilvl w:val="0"/>
                <w:numId w:val="12"/>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依據法令或櫃檯買賣中心要求提供資訊或進行調查時，</w:t>
            </w:r>
            <w:r w:rsidR="00196B3E">
              <w:rPr>
                <w:rFonts w:ascii="新細明體" w:hAnsi="新細明體" w:hint="eastAsia"/>
                <w:color w:val="000000"/>
                <w:spacing w:val="10"/>
              </w:rPr>
              <w:t>募資公司</w:t>
            </w:r>
            <w:r w:rsidRPr="008E537B">
              <w:rPr>
                <w:rFonts w:ascii="新細明體" w:hAnsi="新細明體" w:hint="eastAsia"/>
                <w:color w:val="000000"/>
                <w:spacing w:val="10"/>
              </w:rPr>
              <w:t>不得拒絕。</w:t>
            </w:r>
          </w:p>
          <w:p w:rsidR="00C61EC7" w:rsidRPr="008E537B" w:rsidRDefault="00C61EC7" w:rsidP="00EA5338">
            <w:pPr>
              <w:pStyle w:val="ab"/>
              <w:numPr>
                <w:ilvl w:val="0"/>
                <w:numId w:val="10"/>
              </w:numPr>
              <w:adjustRightInd/>
              <w:snapToGrid w:val="0"/>
              <w:spacing w:line="400" w:lineRule="exact"/>
              <w:ind w:leftChars="105" w:left="819" w:hangingChars="218" w:hanging="567"/>
              <w:jc w:val="both"/>
              <w:textAlignment w:val="auto"/>
              <w:rPr>
                <w:rFonts w:ascii="新細明體" w:hAnsi="新細明體"/>
                <w:color w:val="000000"/>
                <w:spacing w:val="10"/>
              </w:rPr>
            </w:pPr>
            <w:r w:rsidRPr="008E537B">
              <w:rPr>
                <w:rFonts w:ascii="新細明體" w:hAnsi="新細明體" w:hint="eastAsia"/>
                <w:color w:val="000000"/>
                <w:spacing w:val="10"/>
              </w:rPr>
              <w:t>公司應確認</w:t>
            </w:r>
            <w:r w:rsidR="00196B3E">
              <w:rPr>
                <w:rFonts w:ascii="新細明體" w:hAnsi="新細明體" w:hint="eastAsia"/>
                <w:color w:val="000000"/>
                <w:spacing w:val="10"/>
              </w:rPr>
              <w:t>募資公司</w:t>
            </w:r>
            <w:r w:rsidRPr="008E537B">
              <w:rPr>
                <w:rFonts w:ascii="新細明體" w:hAnsi="新細明體" w:hint="eastAsia"/>
                <w:color w:val="000000"/>
                <w:spacing w:val="10"/>
              </w:rPr>
              <w:t>符合下列各款條件者，始</w:t>
            </w:r>
            <w:proofErr w:type="gramStart"/>
            <w:r w:rsidRPr="008E537B">
              <w:rPr>
                <w:rFonts w:ascii="新細明體" w:hAnsi="新細明體" w:hint="eastAsia"/>
                <w:color w:val="000000"/>
                <w:spacing w:val="10"/>
              </w:rPr>
              <w:t>得於募資</w:t>
            </w:r>
            <w:proofErr w:type="gramEnd"/>
            <w:r w:rsidRPr="008E537B">
              <w:rPr>
                <w:rFonts w:ascii="新細明體" w:hAnsi="新細明體" w:hint="eastAsia"/>
                <w:color w:val="000000"/>
                <w:spacing w:val="10"/>
              </w:rPr>
              <w:t>平台揭示</w:t>
            </w:r>
            <w:r w:rsidR="00196B3E">
              <w:rPr>
                <w:rFonts w:ascii="新細明體" w:hAnsi="新細明體" w:hint="eastAsia"/>
                <w:color w:val="000000"/>
                <w:spacing w:val="10"/>
              </w:rPr>
              <w:t>募資公司</w:t>
            </w:r>
            <w:r w:rsidRPr="008E537B">
              <w:rPr>
                <w:rFonts w:ascii="新細明體" w:hAnsi="新細明體" w:hint="eastAsia"/>
                <w:color w:val="000000"/>
                <w:spacing w:val="10"/>
              </w:rPr>
              <w:t>基本資料及現金增資之相關資訊：</w:t>
            </w:r>
          </w:p>
          <w:p w:rsidR="001E6031" w:rsidRDefault="00C61EC7" w:rsidP="00EA5338">
            <w:pPr>
              <w:pStyle w:val="ab"/>
              <w:numPr>
                <w:ilvl w:val="0"/>
                <w:numId w:val="13"/>
              </w:numPr>
              <w:adjustRightInd/>
              <w:snapToGrid w:val="0"/>
              <w:spacing w:line="400" w:lineRule="exact"/>
              <w:ind w:leftChars="0"/>
              <w:jc w:val="both"/>
              <w:textAlignment w:val="auto"/>
              <w:rPr>
                <w:rFonts w:ascii="新細明體" w:hAnsi="新細明體"/>
                <w:color w:val="000000"/>
                <w:spacing w:val="10"/>
              </w:rPr>
            </w:pPr>
            <w:r w:rsidRPr="008E537B">
              <w:rPr>
                <w:rFonts w:ascii="新細明體" w:hAnsi="新細明體" w:hint="eastAsia"/>
                <w:color w:val="000000"/>
                <w:spacing w:val="10"/>
              </w:rPr>
              <w:t>已建置內部控制</w:t>
            </w:r>
            <w:r w:rsidR="001E6031">
              <w:rPr>
                <w:rFonts w:ascii="新細明體" w:hAnsi="新細明體" w:hint="eastAsia"/>
                <w:color w:val="000000"/>
                <w:spacing w:val="10"/>
              </w:rPr>
              <w:t>制</w:t>
            </w:r>
            <w:r w:rsidR="001E6031">
              <w:rPr>
                <w:rFonts w:ascii="新細明體" w:hAnsi="新細明體"/>
                <w:color w:val="000000"/>
                <w:spacing w:val="10"/>
              </w:rPr>
              <w:t>度且有效執行者。</w:t>
            </w:r>
          </w:p>
          <w:p w:rsidR="001E6031" w:rsidRDefault="00C61EC7" w:rsidP="00EA5338">
            <w:pPr>
              <w:pStyle w:val="ab"/>
              <w:numPr>
                <w:ilvl w:val="0"/>
                <w:numId w:val="13"/>
              </w:numPr>
              <w:adjustRightInd/>
              <w:snapToGrid w:val="0"/>
              <w:spacing w:line="400" w:lineRule="exact"/>
              <w:ind w:leftChars="0"/>
              <w:jc w:val="both"/>
              <w:textAlignment w:val="auto"/>
              <w:rPr>
                <w:rFonts w:ascii="新細明體" w:hAnsi="新細明體"/>
                <w:color w:val="000000"/>
                <w:spacing w:val="10"/>
              </w:rPr>
            </w:pPr>
            <w:r w:rsidRPr="008E537B">
              <w:rPr>
                <w:rFonts w:ascii="新細明體" w:hAnsi="新細明體" w:hint="eastAsia"/>
                <w:color w:val="000000"/>
                <w:spacing w:val="10"/>
              </w:rPr>
              <w:t>會計處理符合商業會計法之規定者。</w:t>
            </w:r>
          </w:p>
          <w:p w:rsidR="00C61EC7" w:rsidRPr="008E537B" w:rsidRDefault="00196B3E" w:rsidP="00EA5338">
            <w:pPr>
              <w:pStyle w:val="ab"/>
              <w:numPr>
                <w:ilvl w:val="0"/>
                <w:numId w:val="13"/>
              </w:numPr>
              <w:adjustRightInd/>
              <w:snapToGrid w:val="0"/>
              <w:spacing w:line="400" w:lineRule="exact"/>
              <w:ind w:leftChars="0"/>
              <w:jc w:val="both"/>
              <w:textAlignment w:val="auto"/>
              <w:rPr>
                <w:rFonts w:ascii="新細明體" w:hAnsi="新細明體"/>
                <w:color w:val="000000"/>
                <w:spacing w:val="10"/>
              </w:rPr>
            </w:pPr>
            <w:r>
              <w:rPr>
                <w:rFonts w:ascii="新細明體" w:hAnsi="新細明體" w:hint="eastAsia"/>
                <w:color w:val="000000"/>
                <w:spacing w:val="10"/>
              </w:rPr>
              <w:t>募資公司</w:t>
            </w:r>
            <w:r w:rsidR="00C61EC7" w:rsidRPr="008E537B">
              <w:rPr>
                <w:rFonts w:ascii="新細明體" w:hAnsi="新細明體" w:hint="eastAsia"/>
                <w:color w:val="000000"/>
                <w:spacing w:val="10"/>
              </w:rPr>
              <w:t>及</w:t>
            </w:r>
            <w:r w:rsidR="001E6031">
              <w:rPr>
                <w:rFonts w:ascii="新細明體" w:hAnsi="新細明體" w:hint="eastAsia"/>
                <w:color w:val="000000"/>
                <w:spacing w:val="10"/>
              </w:rPr>
              <w:t>其</w:t>
            </w:r>
            <w:r w:rsidR="001E6031">
              <w:rPr>
                <w:rFonts w:ascii="新細明體" w:hAnsi="新細明體"/>
                <w:color w:val="000000"/>
                <w:spacing w:val="10"/>
              </w:rPr>
              <w:t>董事、監察人及總經理</w:t>
            </w:r>
            <w:r w:rsidR="00C61EC7" w:rsidRPr="008E537B">
              <w:rPr>
                <w:rFonts w:ascii="新細明體" w:hAnsi="新細明體" w:hint="eastAsia"/>
                <w:color w:val="000000"/>
                <w:spacing w:val="10"/>
              </w:rPr>
              <w:t>無重大誠信疑慮者。</w:t>
            </w:r>
          </w:p>
          <w:p w:rsidR="00C61EC7" w:rsidRPr="008E537B" w:rsidRDefault="00C61EC7" w:rsidP="00EA5338">
            <w:pPr>
              <w:pStyle w:val="ab"/>
              <w:numPr>
                <w:ilvl w:val="0"/>
                <w:numId w:val="13"/>
              </w:numPr>
              <w:adjustRightInd/>
              <w:snapToGrid w:val="0"/>
              <w:spacing w:line="400" w:lineRule="exact"/>
              <w:ind w:leftChars="0"/>
              <w:jc w:val="both"/>
              <w:textAlignment w:val="auto"/>
              <w:rPr>
                <w:rFonts w:ascii="新細明體" w:hAnsi="新細明體"/>
                <w:color w:val="000000"/>
                <w:spacing w:val="10"/>
              </w:rPr>
            </w:pPr>
            <w:r w:rsidRPr="008E537B">
              <w:rPr>
                <w:rFonts w:ascii="新細明體" w:hAnsi="新細明體" w:hint="eastAsia"/>
                <w:color w:val="000000"/>
                <w:spacing w:val="10"/>
              </w:rPr>
              <w:t>其他經櫃檯買賣中心規定之事項。</w:t>
            </w:r>
          </w:p>
          <w:p w:rsidR="007F6B93" w:rsidRPr="008E537B" w:rsidRDefault="006B2C21" w:rsidP="00EA5338">
            <w:pPr>
              <w:pStyle w:val="ab"/>
              <w:numPr>
                <w:ilvl w:val="0"/>
                <w:numId w:val="10"/>
              </w:numPr>
              <w:adjustRightInd/>
              <w:snapToGrid w:val="0"/>
              <w:spacing w:line="400" w:lineRule="exact"/>
              <w:ind w:leftChars="105" w:left="819" w:hangingChars="218" w:hanging="567"/>
              <w:jc w:val="both"/>
              <w:textAlignment w:val="auto"/>
              <w:rPr>
                <w:rFonts w:ascii="新細明體" w:hAnsi="新細明體"/>
                <w:color w:val="000000"/>
                <w:spacing w:val="10"/>
              </w:rPr>
            </w:pPr>
            <w:proofErr w:type="gramStart"/>
            <w:r w:rsidRPr="008E537B">
              <w:rPr>
                <w:rFonts w:ascii="新細明體" w:hAnsi="新細明體" w:hint="eastAsia"/>
                <w:color w:val="000000"/>
                <w:spacing w:val="10"/>
              </w:rPr>
              <w:t>公</w:t>
            </w:r>
            <w:r w:rsidRPr="008E537B">
              <w:rPr>
                <w:rFonts w:ascii="新細明體" w:hAnsi="新細明體"/>
                <w:color w:val="000000"/>
                <w:spacing w:val="10"/>
              </w:rPr>
              <w:t>司於</w:t>
            </w:r>
            <w:r w:rsidR="00196B3E">
              <w:rPr>
                <w:rFonts w:ascii="新細明體" w:hAnsi="新細明體"/>
                <w:color w:val="000000"/>
                <w:spacing w:val="10"/>
              </w:rPr>
              <w:t>募資</w:t>
            </w:r>
            <w:proofErr w:type="gramEnd"/>
            <w:r w:rsidR="00196B3E">
              <w:rPr>
                <w:rFonts w:ascii="新細明體" w:hAnsi="新細明體"/>
                <w:color w:val="000000"/>
                <w:spacing w:val="10"/>
              </w:rPr>
              <w:t>公司</w:t>
            </w:r>
            <w:r w:rsidR="007F6B93" w:rsidRPr="008E537B">
              <w:rPr>
                <w:rFonts w:ascii="新細明體" w:hAnsi="新細明體" w:hint="eastAsia"/>
                <w:color w:val="000000"/>
                <w:spacing w:val="10"/>
              </w:rPr>
              <w:t>辦理現金增資</w:t>
            </w:r>
            <w:r w:rsidRPr="008E537B">
              <w:rPr>
                <w:rFonts w:ascii="新細明體" w:hAnsi="新細明體" w:hint="eastAsia"/>
                <w:color w:val="000000"/>
                <w:spacing w:val="10"/>
              </w:rPr>
              <w:t>時</w:t>
            </w:r>
            <w:r w:rsidR="007F6B93" w:rsidRPr="008E537B">
              <w:rPr>
                <w:rFonts w:ascii="新細明體" w:hAnsi="新細明體" w:hint="eastAsia"/>
                <w:color w:val="000000"/>
                <w:spacing w:val="10"/>
              </w:rPr>
              <w:t>，</w:t>
            </w:r>
            <w:proofErr w:type="gramStart"/>
            <w:r w:rsidR="007F6B93" w:rsidRPr="008E537B">
              <w:rPr>
                <w:rFonts w:ascii="新細明體" w:hAnsi="新細明體" w:hint="eastAsia"/>
                <w:color w:val="000000"/>
                <w:spacing w:val="10"/>
              </w:rPr>
              <w:t>應</w:t>
            </w:r>
            <w:r w:rsidRPr="008E537B">
              <w:rPr>
                <w:rFonts w:ascii="新細明體" w:hAnsi="新細明體" w:hint="eastAsia"/>
                <w:color w:val="000000"/>
                <w:spacing w:val="10"/>
              </w:rPr>
              <w:t>依</w:t>
            </w:r>
            <w:r w:rsidR="00196B3E">
              <w:rPr>
                <w:rFonts w:ascii="新細明體" w:hAnsi="新細明體"/>
                <w:color w:val="000000"/>
                <w:spacing w:val="10"/>
              </w:rPr>
              <w:t>募資</w:t>
            </w:r>
            <w:proofErr w:type="gramEnd"/>
            <w:r w:rsidR="00196B3E">
              <w:rPr>
                <w:rFonts w:ascii="新細明體" w:hAnsi="新細明體"/>
                <w:color w:val="000000"/>
                <w:spacing w:val="10"/>
              </w:rPr>
              <w:t>公司</w:t>
            </w:r>
            <w:r w:rsidRPr="008E537B">
              <w:rPr>
                <w:rFonts w:ascii="新細明體" w:hAnsi="新細明體" w:hint="eastAsia"/>
                <w:color w:val="000000"/>
                <w:spacing w:val="10"/>
              </w:rPr>
              <w:t>於</w:t>
            </w:r>
            <w:r w:rsidR="0054174D" w:rsidRPr="008E537B">
              <w:rPr>
                <w:rFonts w:ascii="新細明體" w:hAnsi="新細明體" w:hint="eastAsia"/>
                <w:color w:val="000000"/>
                <w:spacing w:val="10"/>
              </w:rPr>
              <w:t>確認</w:t>
            </w:r>
            <w:r w:rsidR="0054174D" w:rsidRPr="008E537B">
              <w:rPr>
                <w:rFonts w:ascii="新細明體" w:hAnsi="新細明體"/>
                <w:color w:val="000000"/>
                <w:spacing w:val="10"/>
              </w:rPr>
              <w:t>員工及股東放</w:t>
            </w:r>
            <w:r w:rsidR="0054174D" w:rsidRPr="008E537B">
              <w:rPr>
                <w:rFonts w:ascii="新細明體" w:hAnsi="新細明體" w:hint="eastAsia"/>
                <w:color w:val="000000"/>
                <w:spacing w:val="10"/>
              </w:rPr>
              <w:t>棄</w:t>
            </w:r>
            <w:r w:rsidR="0054174D" w:rsidRPr="008E537B">
              <w:rPr>
                <w:rFonts w:ascii="新細明體" w:hAnsi="新細明體"/>
                <w:color w:val="000000"/>
                <w:spacing w:val="10"/>
              </w:rPr>
              <w:t>認購股數之日起五個</w:t>
            </w:r>
            <w:r w:rsidR="0054174D" w:rsidRPr="008E537B">
              <w:rPr>
                <w:rFonts w:ascii="新細明體" w:hAnsi="新細明體" w:hint="eastAsia"/>
                <w:color w:val="000000"/>
                <w:spacing w:val="10"/>
              </w:rPr>
              <w:t>營</w:t>
            </w:r>
            <w:r w:rsidR="0054174D" w:rsidRPr="008E537B">
              <w:rPr>
                <w:rFonts w:ascii="新細明體" w:hAnsi="新細明體"/>
                <w:color w:val="000000"/>
                <w:spacing w:val="10"/>
              </w:rPr>
              <w:t>業日</w:t>
            </w:r>
            <w:r w:rsidR="0054174D" w:rsidRPr="008E537B">
              <w:rPr>
                <w:rFonts w:ascii="新細明體" w:hAnsi="新細明體" w:hint="eastAsia"/>
                <w:color w:val="000000"/>
                <w:spacing w:val="10"/>
              </w:rPr>
              <w:t>內</w:t>
            </w:r>
            <w:r w:rsidRPr="008E537B">
              <w:rPr>
                <w:rFonts w:ascii="新細明體" w:hAnsi="新細明體"/>
                <w:color w:val="000000"/>
                <w:spacing w:val="10"/>
              </w:rPr>
              <w:t>申報之募資計</w:t>
            </w:r>
            <w:r w:rsidRPr="008E537B">
              <w:rPr>
                <w:rFonts w:ascii="新細明體" w:hAnsi="新細明體" w:hint="eastAsia"/>
                <w:color w:val="000000"/>
                <w:spacing w:val="10"/>
              </w:rPr>
              <w:t>畫</w:t>
            </w:r>
            <w:r w:rsidRPr="008E537B">
              <w:rPr>
                <w:rFonts w:ascii="新細明體" w:hAnsi="新細明體"/>
                <w:color w:val="000000"/>
                <w:spacing w:val="10"/>
              </w:rPr>
              <w:t>書</w:t>
            </w:r>
            <w:r w:rsidR="00DB7088">
              <w:rPr>
                <w:rFonts w:ascii="新細明體" w:hAnsi="新細明體" w:hint="eastAsia"/>
                <w:color w:val="000000"/>
                <w:spacing w:val="10"/>
              </w:rPr>
              <w:t>，</w:t>
            </w:r>
            <w:r w:rsidR="007F6B93" w:rsidRPr="008E537B">
              <w:rPr>
                <w:rFonts w:ascii="新細明體" w:hAnsi="新細明體" w:hint="eastAsia"/>
                <w:color w:val="000000"/>
                <w:spacing w:val="10"/>
              </w:rPr>
              <w:t>履行盡職調查程序</w:t>
            </w:r>
            <w:r w:rsidRPr="008E537B">
              <w:rPr>
                <w:rFonts w:ascii="新細明體" w:hAnsi="新細明體" w:hint="eastAsia"/>
                <w:color w:val="000000"/>
                <w:spacing w:val="10"/>
              </w:rPr>
              <w:t>，</w:t>
            </w:r>
            <w:r w:rsidR="007F6B93" w:rsidRPr="008E537B">
              <w:rPr>
                <w:rFonts w:ascii="新細明體" w:hAnsi="新細明體" w:hint="eastAsia"/>
                <w:color w:val="000000"/>
                <w:spacing w:val="10"/>
              </w:rPr>
              <w:t>確認無重大異常後揭示於</w:t>
            </w:r>
            <w:r w:rsidRPr="008E537B">
              <w:rPr>
                <w:rFonts w:ascii="新細明體" w:hAnsi="新細明體" w:hint="eastAsia"/>
                <w:color w:val="000000"/>
                <w:spacing w:val="10"/>
              </w:rPr>
              <w:t>公</w:t>
            </w:r>
            <w:r w:rsidRPr="008E537B">
              <w:rPr>
                <w:rFonts w:ascii="新細明體" w:hAnsi="新細明體"/>
                <w:color w:val="000000"/>
                <w:spacing w:val="10"/>
              </w:rPr>
              <w:t>司之</w:t>
            </w:r>
            <w:r w:rsidR="007F6B93" w:rsidRPr="008E537B">
              <w:rPr>
                <w:rFonts w:ascii="新細明體" w:hAnsi="新細明體" w:hint="eastAsia"/>
                <w:color w:val="000000"/>
                <w:spacing w:val="10"/>
              </w:rPr>
              <w:t>募資平台</w:t>
            </w:r>
            <w:r w:rsidRPr="008E537B">
              <w:rPr>
                <w:rFonts w:ascii="新細明體" w:hAnsi="新細明體" w:hint="eastAsia"/>
                <w:color w:val="000000"/>
                <w:spacing w:val="10"/>
              </w:rPr>
              <w:t>至少五個營業日，投資人</w:t>
            </w:r>
            <w:r w:rsidR="00BB449C" w:rsidRPr="00D2318B">
              <w:rPr>
                <w:rFonts w:ascii="新細明體" w:hAnsi="新細明體" w:hint="eastAsia"/>
                <w:color w:val="FF0000"/>
                <w:u w:val="single"/>
              </w:rPr>
              <w:t>或僅供天使投資人</w:t>
            </w:r>
            <w:r w:rsidRPr="008E537B">
              <w:rPr>
                <w:rFonts w:ascii="新細明體" w:hAnsi="新細明體" w:hint="eastAsia"/>
                <w:color w:val="000000"/>
                <w:spacing w:val="10"/>
              </w:rPr>
              <w:t>始可進行認購。</w:t>
            </w:r>
          </w:p>
          <w:p w:rsidR="00C61EC7" w:rsidRPr="008E537B" w:rsidRDefault="00C61EC7" w:rsidP="00EA5338">
            <w:pPr>
              <w:pStyle w:val="ab"/>
              <w:numPr>
                <w:ilvl w:val="0"/>
                <w:numId w:val="10"/>
              </w:numPr>
              <w:adjustRightInd/>
              <w:snapToGrid w:val="0"/>
              <w:spacing w:line="400" w:lineRule="exact"/>
              <w:ind w:leftChars="105" w:left="819" w:hangingChars="218" w:hanging="567"/>
              <w:jc w:val="both"/>
              <w:textAlignment w:val="auto"/>
              <w:rPr>
                <w:rFonts w:ascii="新細明體" w:hAnsi="新細明體"/>
                <w:color w:val="000000"/>
                <w:spacing w:val="10"/>
              </w:rPr>
            </w:pPr>
            <w:r w:rsidRPr="008E537B">
              <w:rPr>
                <w:rFonts w:ascii="新細明體" w:hAnsi="新細明體" w:hint="eastAsia"/>
                <w:color w:val="000000"/>
                <w:spacing w:val="10"/>
              </w:rPr>
              <w:t>公司應對參與募資之投資人</w:t>
            </w:r>
            <w:proofErr w:type="gramStart"/>
            <w:r w:rsidR="00AC207C" w:rsidRPr="008E537B">
              <w:rPr>
                <w:rFonts w:ascii="新細明體" w:hAnsi="新細明體" w:hint="eastAsia"/>
                <w:color w:val="000000"/>
                <w:spacing w:val="10"/>
              </w:rPr>
              <w:t>採</w:t>
            </w:r>
            <w:proofErr w:type="gramEnd"/>
            <w:r w:rsidR="00AC207C" w:rsidRPr="008E537B">
              <w:rPr>
                <w:rFonts w:ascii="新細明體" w:hAnsi="新細明體" w:hint="eastAsia"/>
                <w:color w:val="000000"/>
                <w:spacing w:val="10"/>
              </w:rPr>
              <w:t>行相關控管措施：</w:t>
            </w:r>
          </w:p>
          <w:p w:rsidR="00C61EC7" w:rsidRPr="00C80B9D" w:rsidRDefault="00C61EC7" w:rsidP="00EA5338">
            <w:pPr>
              <w:pStyle w:val="ab"/>
              <w:numPr>
                <w:ilvl w:val="0"/>
                <w:numId w:val="22"/>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投資人應於公司之募資平台確認「風險預告書」</w:t>
            </w:r>
            <w:r w:rsidR="00FC0D15">
              <w:rPr>
                <w:rFonts w:ascii="新細明體" w:hAnsi="新細明體" w:hint="eastAsia"/>
                <w:color w:val="000000"/>
                <w:spacing w:val="10"/>
              </w:rPr>
              <w:t>與</w:t>
            </w:r>
            <w:r w:rsidR="00FC0D15">
              <w:rPr>
                <w:rFonts w:ascii="新細明體" w:hAnsi="新細明體"/>
                <w:color w:val="000000"/>
                <w:spacing w:val="10"/>
              </w:rPr>
              <w:t>同意依個人資料保護法相關規定</w:t>
            </w:r>
            <w:r w:rsidRPr="00C80B9D">
              <w:rPr>
                <w:rFonts w:ascii="新細明體" w:hAnsi="新細明體" w:hint="eastAsia"/>
                <w:color w:val="000000"/>
                <w:spacing w:val="10"/>
              </w:rPr>
              <w:t>後始得進行認購作業，經檢核</w:t>
            </w:r>
            <w:proofErr w:type="gramStart"/>
            <w:r w:rsidRPr="00C80B9D">
              <w:rPr>
                <w:rFonts w:ascii="新細明體" w:hAnsi="新細明體" w:hint="eastAsia"/>
                <w:color w:val="000000"/>
                <w:spacing w:val="10"/>
              </w:rPr>
              <w:t>未逾其投資</w:t>
            </w:r>
            <w:proofErr w:type="gramEnd"/>
            <w:r w:rsidRPr="00C80B9D">
              <w:rPr>
                <w:rFonts w:ascii="新細明體" w:hAnsi="新細明體" w:hint="eastAsia"/>
                <w:color w:val="000000"/>
                <w:spacing w:val="10"/>
              </w:rPr>
              <w:t>限額，即完成投資人之認購作業</w:t>
            </w:r>
            <w:r w:rsidR="00721E87" w:rsidRPr="00C80B9D">
              <w:rPr>
                <w:rFonts w:ascii="新細明體" w:hAnsi="新細明體" w:hint="eastAsia"/>
                <w:color w:val="000000"/>
                <w:spacing w:val="10"/>
              </w:rPr>
              <w:t>，</w:t>
            </w:r>
            <w:r w:rsidRPr="00C80B9D">
              <w:rPr>
                <w:rFonts w:ascii="新細明體" w:hAnsi="新細明體" w:hint="eastAsia"/>
                <w:color w:val="000000"/>
                <w:spacing w:val="10"/>
              </w:rPr>
              <w:t>但</w:t>
            </w:r>
            <w:r w:rsidR="00BB449C" w:rsidRPr="00DF3D1C">
              <w:rPr>
                <w:rFonts w:ascii="新細明體" w:hAnsi="新細明體" w:hint="eastAsia"/>
                <w:color w:val="FF0000"/>
                <w:u w:val="single"/>
              </w:rPr>
              <w:t>天使</w:t>
            </w:r>
            <w:r w:rsidRPr="00BB449C">
              <w:rPr>
                <w:rFonts w:ascii="新細明體" w:hAnsi="新細明體" w:hint="eastAsia"/>
                <w:strike/>
                <w:color w:val="FF0000"/>
                <w:spacing w:val="10"/>
              </w:rPr>
              <w:t>專業</w:t>
            </w:r>
            <w:r w:rsidRPr="00C80B9D">
              <w:rPr>
                <w:rFonts w:ascii="新細明體" w:hAnsi="新細明體" w:hint="eastAsia"/>
                <w:color w:val="000000"/>
                <w:spacing w:val="10"/>
              </w:rPr>
              <w:t>投資人不在此限。</w:t>
            </w:r>
          </w:p>
          <w:p w:rsidR="00C61EC7" w:rsidRDefault="00A86000" w:rsidP="00EA5338">
            <w:pPr>
              <w:pStyle w:val="ab"/>
              <w:numPr>
                <w:ilvl w:val="0"/>
                <w:numId w:val="22"/>
              </w:numPr>
              <w:adjustRightInd/>
              <w:snapToGrid w:val="0"/>
              <w:spacing w:line="400" w:lineRule="exact"/>
              <w:ind w:leftChars="0"/>
              <w:jc w:val="both"/>
              <w:textAlignment w:val="auto"/>
              <w:rPr>
                <w:rFonts w:ascii="新細明體" w:hAnsi="新細明體"/>
                <w:color w:val="000000"/>
                <w:spacing w:val="10"/>
              </w:rPr>
            </w:pPr>
            <w:r w:rsidRPr="00C80B9D">
              <w:rPr>
                <w:rFonts w:ascii="新細明體" w:hAnsi="新細明體" w:hint="eastAsia"/>
                <w:color w:val="000000"/>
                <w:spacing w:val="10"/>
              </w:rPr>
              <w:t>前</w:t>
            </w:r>
            <w:r w:rsidR="00C437A1" w:rsidRPr="00C80B9D">
              <w:rPr>
                <w:rFonts w:ascii="新細明體" w:hAnsi="新細明體" w:hint="eastAsia"/>
                <w:color w:val="000000"/>
                <w:spacing w:val="10"/>
              </w:rPr>
              <w:t>揭</w:t>
            </w:r>
            <w:r w:rsidR="00AF1CC9">
              <w:rPr>
                <w:rFonts w:ascii="新細明體" w:hAnsi="新細明體" w:hint="eastAsia"/>
                <w:color w:val="000000"/>
                <w:spacing w:val="10"/>
              </w:rPr>
              <w:t>四</w:t>
            </w:r>
            <w:r w:rsidR="00AF1CC9">
              <w:rPr>
                <w:rFonts w:ascii="新細明體" w:hAnsi="新細明體"/>
                <w:color w:val="000000"/>
                <w:spacing w:val="10"/>
              </w:rPr>
              <w:t>、</w:t>
            </w:r>
            <w:r w:rsidR="00AF1CC9">
              <w:rPr>
                <w:rFonts w:ascii="新細明體" w:hAnsi="新細明體" w:hint="eastAsia"/>
                <w:color w:val="000000"/>
                <w:spacing w:val="10"/>
              </w:rPr>
              <w:t>(九)、1</w:t>
            </w:r>
            <w:r w:rsidR="00C61EC7" w:rsidRPr="00C80B9D">
              <w:rPr>
                <w:rFonts w:ascii="新細明體" w:hAnsi="新細明體" w:hint="eastAsia"/>
                <w:color w:val="000000"/>
                <w:spacing w:val="10"/>
              </w:rPr>
              <w:t>規定所稱投資限額，係指投資人</w:t>
            </w:r>
            <w:r w:rsidR="006D1294">
              <w:rPr>
                <w:rFonts w:ascii="新細明體" w:hAnsi="新細明體" w:hint="eastAsia"/>
                <w:color w:val="000000"/>
                <w:spacing w:val="10"/>
              </w:rPr>
              <w:t>透過單一證券商募資平台進行認購之投資金額，其單次</w:t>
            </w:r>
            <w:r w:rsidR="00C61EC7" w:rsidRPr="00C80B9D">
              <w:rPr>
                <w:rFonts w:ascii="新細明體" w:hAnsi="新細明體" w:hint="eastAsia"/>
                <w:color w:val="000000"/>
                <w:spacing w:val="10"/>
              </w:rPr>
              <w:t>股權募資認購金額不得逾新臺幣</w:t>
            </w:r>
            <w:r w:rsidR="003A6E22">
              <w:rPr>
                <w:rFonts w:ascii="新細明體" w:hAnsi="新細明體" w:hint="eastAsia"/>
                <w:color w:val="000000"/>
                <w:spacing w:val="10"/>
              </w:rPr>
              <w:t>五</w:t>
            </w:r>
            <w:r w:rsidR="00C61EC7" w:rsidRPr="00C80B9D">
              <w:rPr>
                <w:rFonts w:ascii="新細明體" w:hAnsi="新細明體" w:hint="eastAsia"/>
                <w:color w:val="000000"/>
                <w:spacing w:val="10"/>
              </w:rPr>
              <w:t>萬元，且</w:t>
            </w:r>
            <w:r w:rsidR="00671708">
              <w:rPr>
                <w:rFonts w:ascii="新細明體" w:hAnsi="新細明體" w:hint="eastAsia"/>
                <w:color w:val="000000"/>
                <w:spacing w:val="10"/>
              </w:rPr>
              <w:t>每</w:t>
            </w:r>
            <w:r w:rsidR="00671708">
              <w:rPr>
                <w:rFonts w:ascii="新細明體" w:hAnsi="新細明體"/>
                <w:color w:val="000000"/>
                <w:spacing w:val="10"/>
              </w:rPr>
              <w:t>一年度</w:t>
            </w:r>
            <w:r w:rsidR="00671708">
              <w:rPr>
                <w:rFonts w:ascii="新細明體" w:hAnsi="新細明體" w:hint="eastAsia"/>
                <w:color w:val="000000"/>
                <w:spacing w:val="10"/>
              </w:rPr>
              <w:t>(一</w:t>
            </w:r>
            <w:r w:rsidR="00671708">
              <w:rPr>
                <w:rFonts w:ascii="新細明體" w:hAnsi="新細明體"/>
                <w:color w:val="000000"/>
                <w:spacing w:val="10"/>
              </w:rPr>
              <w:t>月一日至十二月三十一日止</w:t>
            </w:r>
            <w:r w:rsidR="00671708">
              <w:rPr>
                <w:rFonts w:ascii="新細明體" w:hAnsi="新細明體" w:hint="eastAsia"/>
                <w:color w:val="000000"/>
                <w:spacing w:val="10"/>
              </w:rPr>
              <w:t>)</w:t>
            </w:r>
            <w:r w:rsidR="00C61EC7" w:rsidRPr="00C80B9D">
              <w:rPr>
                <w:rFonts w:ascii="新細明體" w:hAnsi="新細明體" w:hint="eastAsia"/>
                <w:color w:val="000000"/>
                <w:spacing w:val="10"/>
              </w:rPr>
              <w:t>合計不得逾新臺幣</w:t>
            </w:r>
            <w:r w:rsidR="003A6E22">
              <w:rPr>
                <w:rFonts w:ascii="新細明體" w:hAnsi="新細明體" w:hint="eastAsia"/>
                <w:color w:val="000000"/>
                <w:spacing w:val="10"/>
              </w:rPr>
              <w:t>十</w:t>
            </w:r>
            <w:r w:rsidR="00C61EC7" w:rsidRPr="00C80B9D">
              <w:rPr>
                <w:rFonts w:ascii="新細明體" w:hAnsi="新細明體" w:hint="eastAsia"/>
                <w:color w:val="000000"/>
                <w:spacing w:val="10"/>
              </w:rPr>
              <w:t>萬元。</w:t>
            </w:r>
            <w:r w:rsidR="00FC0D15">
              <w:rPr>
                <w:rFonts w:ascii="新細明體" w:hAnsi="新細明體" w:hint="eastAsia"/>
                <w:color w:val="000000"/>
                <w:spacing w:val="10"/>
              </w:rPr>
              <w:t>但</w:t>
            </w:r>
            <w:r w:rsidR="00BB449C" w:rsidRPr="00DF3D1C">
              <w:rPr>
                <w:rFonts w:ascii="新細明體" w:hAnsi="新細明體" w:hint="eastAsia"/>
                <w:color w:val="FF0000"/>
                <w:u w:val="single"/>
              </w:rPr>
              <w:t>天使</w:t>
            </w:r>
            <w:r w:rsidR="00C61EC7" w:rsidRPr="00BB449C">
              <w:rPr>
                <w:rFonts w:ascii="新細明體" w:hAnsi="新細明體" w:hint="eastAsia"/>
                <w:strike/>
                <w:color w:val="FF0000"/>
                <w:spacing w:val="10"/>
              </w:rPr>
              <w:t>專業</w:t>
            </w:r>
            <w:r w:rsidR="00C61EC7" w:rsidRPr="00C80B9D">
              <w:rPr>
                <w:rFonts w:ascii="新細明體" w:hAnsi="新細明體" w:hint="eastAsia"/>
                <w:color w:val="000000"/>
                <w:spacing w:val="10"/>
              </w:rPr>
              <w:t>投資人對任何</w:t>
            </w:r>
            <w:r w:rsidR="00196B3E">
              <w:rPr>
                <w:rFonts w:ascii="新細明體" w:hAnsi="新細明體" w:hint="eastAsia"/>
                <w:color w:val="000000"/>
                <w:spacing w:val="10"/>
              </w:rPr>
              <w:t>募資公司</w:t>
            </w:r>
            <w:r w:rsidR="00C61EC7" w:rsidRPr="00C80B9D">
              <w:rPr>
                <w:rFonts w:ascii="新細明體" w:hAnsi="新細明體" w:hint="eastAsia"/>
                <w:color w:val="000000"/>
                <w:spacing w:val="10"/>
              </w:rPr>
              <w:t>之認購投資金額，</w:t>
            </w:r>
            <w:proofErr w:type="gramStart"/>
            <w:r w:rsidR="00C61EC7" w:rsidRPr="00671708">
              <w:rPr>
                <w:rFonts w:ascii="新細明體" w:hAnsi="新細明體" w:hint="eastAsia"/>
                <w:color w:val="000000"/>
                <w:spacing w:val="10"/>
              </w:rPr>
              <w:t>及</w:t>
            </w:r>
            <w:r w:rsidR="00196B3E" w:rsidRPr="00671708">
              <w:rPr>
                <w:rFonts w:ascii="新細明體" w:hAnsi="新細明體" w:hint="eastAsia"/>
                <w:color w:val="000000"/>
                <w:spacing w:val="10"/>
              </w:rPr>
              <w:t>募資</w:t>
            </w:r>
            <w:proofErr w:type="gramEnd"/>
            <w:r w:rsidR="00196B3E" w:rsidRPr="00671708">
              <w:rPr>
                <w:rFonts w:ascii="新細明體" w:hAnsi="新細明體" w:hint="eastAsia"/>
                <w:spacing w:val="10"/>
              </w:rPr>
              <w:t>公司</w:t>
            </w:r>
            <w:r w:rsidR="00C61EC7" w:rsidRPr="00671708">
              <w:rPr>
                <w:rFonts w:ascii="新細明體" w:hAnsi="新細明體" w:hint="eastAsia"/>
                <w:spacing w:val="10"/>
              </w:rPr>
              <w:t>之</w:t>
            </w:r>
            <w:r w:rsidR="00E511FC" w:rsidRPr="00671708">
              <w:rPr>
                <w:rFonts w:ascii="新細明體" w:hAnsi="新細明體" w:hint="eastAsia"/>
                <w:spacing w:val="10"/>
              </w:rPr>
              <w:t>董</w:t>
            </w:r>
            <w:r w:rsidR="00E511FC" w:rsidRPr="00671708">
              <w:rPr>
                <w:rFonts w:ascii="新細明體" w:hAnsi="新細明體"/>
                <w:spacing w:val="10"/>
              </w:rPr>
              <w:t>事、監察人及持股百分之十以上大</w:t>
            </w:r>
            <w:r w:rsidR="00C61EC7" w:rsidRPr="00671708">
              <w:rPr>
                <w:rFonts w:ascii="新細明體" w:hAnsi="新細明體" w:hint="eastAsia"/>
                <w:spacing w:val="10"/>
              </w:rPr>
              <w:t>股東</w:t>
            </w:r>
            <w:proofErr w:type="gramStart"/>
            <w:r w:rsidR="00C61EC7" w:rsidRPr="00671708">
              <w:rPr>
                <w:rFonts w:ascii="新細明體" w:hAnsi="新細明體" w:hint="eastAsia"/>
                <w:color w:val="000000"/>
                <w:spacing w:val="10"/>
              </w:rPr>
              <w:t>對該</w:t>
            </w:r>
            <w:r w:rsidR="00196B3E" w:rsidRPr="00671708">
              <w:rPr>
                <w:rFonts w:ascii="新細明體" w:hAnsi="新細明體" w:hint="eastAsia"/>
                <w:color w:val="000000"/>
                <w:spacing w:val="10"/>
              </w:rPr>
              <w:t>募</w:t>
            </w:r>
            <w:r w:rsidR="00196B3E">
              <w:rPr>
                <w:rFonts w:ascii="新細明體" w:hAnsi="新細明體" w:hint="eastAsia"/>
                <w:color w:val="000000"/>
                <w:spacing w:val="10"/>
              </w:rPr>
              <w:t>資</w:t>
            </w:r>
            <w:proofErr w:type="gramEnd"/>
            <w:r w:rsidR="00196B3E">
              <w:rPr>
                <w:rFonts w:ascii="新細明體" w:hAnsi="新細明體" w:hint="eastAsia"/>
                <w:color w:val="000000"/>
                <w:spacing w:val="10"/>
              </w:rPr>
              <w:t>公司</w:t>
            </w:r>
            <w:r w:rsidR="00C61EC7" w:rsidRPr="00C80B9D">
              <w:rPr>
                <w:rFonts w:ascii="新細明體" w:hAnsi="新細明體" w:hint="eastAsia"/>
                <w:color w:val="000000"/>
                <w:spacing w:val="10"/>
              </w:rPr>
              <w:t>之認購投資金額，不在此限。</w:t>
            </w:r>
          </w:p>
          <w:p w:rsidR="00BB449C" w:rsidRPr="00BB449C" w:rsidRDefault="00BE664D" w:rsidP="00EA5338">
            <w:pPr>
              <w:pStyle w:val="ab"/>
              <w:numPr>
                <w:ilvl w:val="0"/>
                <w:numId w:val="10"/>
              </w:numPr>
              <w:spacing w:line="400" w:lineRule="exact"/>
              <w:ind w:leftChars="0" w:left="822" w:hanging="567"/>
              <w:rPr>
                <w:rFonts w:asciiTheme="majorEastAsia" w:eastAsiaTheme="majorEastAsia" w:hAnsiTheme="majorEastAsia"/>
              </w:rPr>
            </w:pPr>
            <w:r w:rsidRPr="005F63DE">
              <w:rPr>
                <w:rFonts w:asciiTheme="minorEastAsia" w:eastAsiaTheme="minorEastAsia" w:hAnsiTheme="minorEastAsia" w:hint="eastAsia"/>
                <w:color w:val="FF0000"/>
                <w:u w:val="single"/>
              </w:rPr>
              <w:t>公司辦理</w:t>
            </w:r>
            <w:r w:rsidRPr="005F63DE">
              <w:rPr>
                <w:rFonts w:ascii="新細明體" w:hAnsi="新細明體" w:hint="eastAsia"/>
                <w:color w:val="FF0000"/>
                <w:u w:val="single"/>
              </w:rPr>
              <w:t>推</w:t>
            </w:r>
            <w:proofErr w:type="gramStart"/>
            <w:r w:rsidRPr="005F63DE">
              <w:rPr>
                <w:rFonts w:ascii="新細明體" w:hAnsi="新細明體" w:hint="eastAsia"/>
                <w:color w:val="FF0000"/>
                <w:u w:val="single"/>
              </w:rPr>
              <w:t>介</w:t>
            </w:r>
            <w:proofErr w:type="gramEnd"/>
            <w:r w:rsidRPr="005F63DE">
              <w:rPr>
                <w:rFonts w:ascii="新細明體" w:hAnsi="新細明體" w:hint="eastAsia"/>
                <w:color w:val="FF0000"/>
                <w:u w:val="single"/>
              </w:rPr>
              <w:t>認購</w:t>
            </w:r>
            <w:proofErr w:type="gramStart"/>
            <w:r w:rsidRPr="005F63DE">
              <w:rPr>
                <w:rFonts w:asciiTheme="minorEastAsia" w:eastAsiaTheme="minorEastAsia" w:hAnsiTheme="minorEastAsia" w:hint="eastAsia"/>
                <w:color w:val="FF0000"/>
                <w:u w:val="single"/>
              </w:rPr>
              <w:t>於其募資</w:t>
            </w:r>
            <w:proofErr w:type="gramEnd"/>
            <w:r w:rsidRPr="005F63DE">
              <w:rPr>
                <w:rFonts w:asciiTheme="minorEastAsia" w:eastAsiaTheme="minorEastAsia" w:hAnsiTheme="minorEastAsia" w:hint="eastAsia"/>
                <w:color w:val="FF0000"/>
                <w:u w:val="single"/>
              </w:rPr>
              <w:t>平台股權募資公司之對象、</w:t>
            </w:r>
            <w:r>
              <w:rPr>
                <w:rFonts w:asciiTheme="minorEastAsia" w:eastAsiaTheme="minorEastAsia" w:hAnsiTheme="minorEastAsia" w:hint="eastAsia"/>
                <w:color w:val="FF0000"/>
                <w:u w:val="single"/>
              </w:rPr>
              <w:t>禁止行為、研究報告、利益衝突之揭露</w:t>
            </w:r>
            <w:r w:rsidRPr="005F63DE">
              <w:rPr>
                <w:rFonts w:asciiTheme="minorEastAsia" w:eastAsiaTheme="minorEastAsia" w:hAnsiTheme="minorEastAsia" w:hint="eastAsia"/>
                <w:color w:val="FF0000"/>
                <w:u w:val="single"/>
              </w:rPr>
              <w:t>及記錄之保存，應符合「證券商經營股權性質群眾募資管理辦</w:t>
            </w:r>
            <w:r w:rsidRPr="005F63DE">
              <w:rPr>
                <w:rFonts w:asciiTheme="majorEastAsia" w:eastAsiaTheme="majorEastAsia" w:hAnsiTheme="majorEastAsia" w:hint="eastAsia"/>
                <w:color w:val="FF0000"/>
                <w:u w:val="single"/>
              </w:rPr>
              <w:t>法」之相關規定。</w:t>
            </w:r>
          </w:p>
          <w:p w:rsidR="00BB449C" w:rsidRPr="005F63DE" w:rsidRDefault="00BB449C" w:rsidP="00EA5338">
            <w:pPr>
              <w:spacing w:line="400" w:lineRule="exact"/>
              <w:ind w:leftChars="106" w:left="820" w:hangingChars="236" w:hanging="566"/>
              <w:rPr>
                <w:rFonts w:ascii="新細明體" w:hAnsi="新細明體"/>
                <w:color w:val="FF0000"/>
                <w:u w:val="single"/>
              </w:rPr>
            </w:pPr>
            <w:r w:rsidRPr="00026341">
              <w:rPr>
                <w:rFonts w:asciiTheme="minorEastAsia" w:eastAsiaTheme="minorEastAsia" w:hAnsiTheme="minorEastAsia"/>
              </w:rPr>
              <w:t>(</w:t>
            </w:r>
            <w:r w:rsidRPr="00026341">
              <w:rPr>
                <w:rFonts w:asciiTheme="minorEastAsia" w:eastAsiaTheme="minorEastAsia" w:hAnsiTheme="minorEastAsia" w:hint="eastAsia"/>
              </w:rPr>
              <w:t>十一</w:t>
            </w:r>
            <w:r w:rsidRPr="00026341">
              <w:rPr>
                <w:rFonts w:asciiTheme="minorEastAsia" w:eastAsiaTheme="minorEastAsia" w:hAnsiTheme="minorEastAsia"/>
              </w:rPr>
              <w:t>)</w:t>
            </w:r>
            <w:r w:rsidRPr="005F63DE">
              <w:rPr>
                <w:rFonts w:asciiTheme="majorEastAsia" w:eastAsiaTheme="majorEastAsia" w:hAnsiTheme="majorEastAsia" w:hint="eastAsia"/>
                <w:color w:val="FF0000"/>
                <w:u w:val="single"/>
              </w:rPr>
              <w:t>公司</w:t>
            </w:r>
            <w:r w:rsidRPr="005F63DE">
              <w:rPr>
                <w:rFonts w:ascii="新細明體" w:hAnsi="新細明體" w:hint="eastAsia"/>
                <w:color w:val="FF0000"/>
                <w:u w:val="single"/>
              </w:rPr>
              <w:t>從事廣告業務招攬活動應符合「金融服務業從事廣告業務招攬及營業促銷活動辦法」及中華民國證券商業同業公會「會員從事廣告、業務招攬及營業促銷活動管理辦法」之相關規定及下列規定</w:t>
            </w:r>
            <w:r w:rsidRPr="005F63DE">
              <w:rPr>
                <w:rFonts w:ascii="新細明體" w:hAnsi="新細明體"/>
                <w:color w:val="FF0000"/>
                <w:u w:val="single"/>
              </w:rPr>
              <w:t>:</w:t>
            </w:r>
            <w:r w:rsidRPr="005F63DE">
              <w:rPr>
                <w:rFonts w:asciiTheme="minorEastAsia" w:eastAsiaTheme="minorEastAsia" w:hAnsiTheme="minorEastAsia"/>
                <w:color w:val="FF0000"/>
                <w:u w:val="single"/>
              </w:rPr>
              <w:br/>
            </w:r>
            <w:r w:rsidRPr="005F63DE">
              <w:rPr>
                <w:rFonts w:ascii="新細明體" w:hAnsi="新細明體"/>
                <w:color w:val="FF0000"/>
                <w:u w:val="single"/>
              </w:rPr>
              <w:t>1.</w:t>
            </w:r>
            <w:r w:rsidR="00E33D6B">
              <w:rPr>
                <w:rFonts w:ascii="新細明體" w:hAnsi="新細明體" w:hint="eastAsia"/>
                <w:color w:val="FF0000"/>
                <w:u w:val="single"/>
              </w:rPr>
              <w:t>活動</w:t>
            </w:r>
            <w:r w:rsidRPr="005F63DE">
              <w:rPr>
                <w:rFonts w:ascii="新細明體" w:hAnsi="新細明體" w:hint="eastAsia"/>
                <w:color w:val="FF0000"/>
                <w:u w:val="single"/>
              </w:rPr>
              <w:t>內容不得涉及預測公司價值、財務或業務等資訊。</w:t>
            </w:r>
          </w:p>
          <w:p w:rsidR="00BB449C" w:rsidRDefault="00BB449C" w:rsidP="00EA5338">
            <w:pPr>
              <w:spacing w:line="400" w:lineRule="exact"/>
              <w:ind w:leftChars="126" w:left="820" w:hangingChars="216" w:hanging="518"/>
              <w:rPr>
                <w:rFonts w:ascii="新細明體" w:hAnsi="新細明體"/>
              </w:rPr>
            </w:pPr>
            <w:r w:rsidRPr="005F63DE">
              <w:rPr>
                <w:rFonts w:ascii="新細明體" w:hAnsi="新細明體"/>
                <w:color w:val="FF0000"/>
              </w:rPr>
              <w:t xml:space="preserve">    </w:t>
            </w:r>
            <w:r w:rsidRPr="005F63DE">
              <w:rPr>
                <w:rFonts w:ascii="新細明體" w:hAnsi="新細明體"/>
                <w:color w:val="FF0000"/>
                <w:u w:val="single"/>
              </w:rPr>
              <w:t>2.</w:t>
            </w:r>
            <w:r w:rsidRPr="005F63DE">
              <w:rPr>
                <w:rFonts w:ascii="新細明體" w:hAnsi="新細明體" w:hint="eastAsia"/>
                <w:color w:val="FF0000"/>
                <w:u w:val="single"/>
              </w:rPr>
              <w:t>舉辦現場講習會、座談會、說明會、現場展示會等公開活動，應全程錄音錄影且至少保存五年，但有爭議者，應保存至該爭議消除為止。</w:t>
            </w:r>
          </w:p>
          <w:p w:rsidR="00BB449C" w:rsidRDefault="00BB449C" w:rsidP="00EA5338">
            <w:pPr>
              <w:spacing w:line="400" w:lineRule="exact"/>
              <w:ind w:leftChars="106" w:left="820" w:hangingChars="236" w:hanging="566"/>
              <w:rPr>
                <w:rFonts w:ascii="新細明體" w:hAnsi="新細明體"/>
              </w:rPr>
            </w:pPr>
            <w:r>
              <w:rPr>
                <w:rFonts w:ascii="新細明體" w:hAnsi="新細明體"/>
              </w:rPr>
              <w:t>(</w:t>
            </w:r>
            <w:r>
              <w:rPr>
                <w:rFonts w:ascii="新細明體" w:hAnsi="新細明體" w:hint="eastAsia"/>
              </w:rPr>
              <w:t>十二</w:t>
            </w:r>
            <w:r>
              <w:rPr>
                <w:rFonts w:ascii="新細明體" w:hAnsi="新細明體"/>
              </w:rPr>
              <w:t>)</w:t>
            </w:r>
            <w:r w:rsidRPr="005F63DE">
              <w:rPr>
                <w:rFonts w:ascii="新細明體" w:hAnsi="新細明體" w:hint="eastAsia"/>
                <w:color w:val="FF0000"/>
                <w:u w:val="single"/>
              </w:rPr>
              <w:t>公司從事兼營證券投資顧問事業辦理證券投資顧問業務，其相關主管及業務人員應符合「證券投資顧問事業負責人與業務人員管理規則」所訂之資格條件。顧問標的</w:t>
            </w:r>
            <w:r w:rsidR="00456D09">
              <w:rPr>
                <w:rFonts w:ascii="新細明體" w:hAnsi="新細明體" w:hint="eastAsia"/>
                <w:color w:val="FF0000"/>
                <w:u w:val="single"/>
              </w:rPr>
              <w:t>應</w:t>
            </w:r>
            <w:r w:rsidRPr="005F63DE">
              <w:rPr>
                <w:rFonts w:ascii="新細明體" w:hAnsi="新細明體" w:hint="eastAsia"/>
                <w:color w:val="FF0000"/>
                <w:u w:val="single"/>
              </w:rPr>
              <w:t>限於募資平台辦理股權募資之公司股票。</w:t>
            </w:r>
          </w:p>
          <w:p w:rsidR="00BE664D" w:rsidRDefault="00BB449C" w:rsidP="00EA5338">
            <w:pPr>
              <w:spacing w:line="400" w:lineRule="exact"/>
              <w:ind w:leftChars="106" w:left="820" w:hangingChars="236" w:hanging="566"/>
              <w:rPr>
                <w:rFonts w:ascii="新細明體" w:hAnsi="新細明體"/>
              </w:rPr>
            </w:pPr>
            <w:r>
              <w:rPr>
                <w:rFonts w:ascii="新細明體" w:hAnsi="新細明體"/>
              </w:rPr>
              <w:t>(</w:t>
            </w:r>
            <w:r>
              <w:rPr>
                <w:rFonts w:ascii="新細明體" w:hAnsi="新細明體" w:hint="eastAsia"/>
              </w:rPr>
              <w:t>十三</w:t>
            </w:r>
            <w:r>
              <w:rPr>
                <w:rFonts w:ascii="新細明體" w:hAnsi="新細明體"/>
              </w:rPr>
              <w:t>)</w:t>
            </w:r>
            <w:r w:rsidRPr="005F63DE">
              <w:rPr>
                <w:rFonts w:ascii="新細明體" w:hAnsi="新細明體" w:hint="eastAsia"/>
                <w:color w:val="FF0000"/>
                <w:u w:val="single"/>
              </w:rPr>
              <w:t>公司向投資人收取手續費或其他相關服務費用時，應於募資平台揭示其收費原則、計算方式或基礎。</w:t>
            </w:r>
          </w:p>
          <w:p w:rsidR="005D39DA" w:rsidRPr="001D0758" w:rsidRDefault="00BB449C" w:rsidP="003D1749">
            <w:pPr>
              <w:spacing w:line="400" w:lineRule="exact"/>
              <w:ind w:leftChars="106" w:left="820" w:hangingChars="236" w:hanging="566"/>
              <w:rPr>
                <w:rFonts w:ascii="新細明體" w:hAnsi="新細明體"/>
                <w:color w:val="FF0000"/>
                <w:u w:val="single"/>
              </w:rPr>
            </w:pPr>
            <w:r>
              <w:rPr>
                <w:rFonts w:ascii="新細明體" w:hAnsi="新細明體"/>
              </w:rPr>
              <w:t>(</w:t>
            </w:r>
            <w:r>
              <w:rPr>
                <w:rFonts w:ascii="新細明體" w:hAnsi="新細明體" w:hint="eastAsia"/>
              </w:rPr>
              <w:t>十四</w:t>
            </w:r>
            <w:r>
              <w:rPr>
                <w:rFonts w:ascii="新細明體" w:hAnsi="新細明體"/>
              </w:rPr>
              <w:t>)</w:t>
            </w:r>
            <w:r w:rsidRPr="00434777">
              <w:rPr>
                <w:rFonts w:ascii="新細明體" w:hAnsi="新細明體" w:hint="eastAsia"/>
                <w:color w:val="FF0000"/>
                <w:u w:val="single"/>
              </w:rPr>
              <w:t>公司應對</w:t>
            </w:r>
            <w:proofErr w:type="gramStart"/>
            <w:r w:rsidRPr="00434777">
              <w:rPr>
                <w:rFonts w:ascii="新細明體" w:hAnsi="新細明體" w:hint="eastAsia"/>
                <w:color w:val="FF0000"/>
                <w:u w:val="single"/>
              </w:rPr>
              <w:t>於其募資</w:t>
            </w:r>
            <w:proofErr w:type="gramEnd"/>
            <w:r w:rsidRPr="00434777">
              <w:rPr>
                <w:rFonts w:ascii="新細明體" w:hAnsi="新細明體" w:hint="eastAsia"/>
                <w:color w:val="FF0000"/>
                <w:u w:val="single"/>
              </w:rPr>
              <w:t>平台</w:t>
            </w:r>
            <w:r>
              <w:rPr>
                <w:rFonts w:ascii="新細明體" w:hAnsi="新細明體" w:hint="eastAsia"/>
                <w:color w:val="FF0000"/>
                <w:u w:val="single"/>
              </w:rPr>
              <w:t>辦理股權募資</w:t>
            </w:r>
            <w:r w:rsidRPr="00434777">
              <w:rPr>
                <w:rFonts w:ascii="新細明體" w:hAnsi="新細明體" w:hint="eastAsia"/>
                <w:color w:val="FF0000"/>
                <w:u w:val="single"/>
              </w:rPr>
              <w:t>公司</w:t>
            </w:r>
            <w:r>
              <w:rPr>
                <w:rFonts w:ascii="新細明體" w:hAnsi="新細明體" w:hint="eastAsia"/>
                <w:color w:val="FF0000"/>
                <w:u w:val="single"/>
              </w:rPr>
              <w:t>之募資程序、募資計畫書等事項，</w:t>
            </w:r>
            <w:proofErr w:type="gramStart"/>
            <w:r w:rsidRPr="00434777">
              <w:rPr>
                <w:rFonts w:ascii="新細明體" w:hAnsi="新細明體" w:hint="eastAsia"/>
                <w:color w:val="FF0000"/>
                <w:u w:val="single"/>
              </w:rPr>
              <w:t>採</w:t>
            </w:r>
            <w:proofErr w:type="gramEnd"/>
            <w:r w:rsidRPr="00434777">
              <w:rPr>
                <w:rFonts w:ascii="新細明體" w:hAnsi="新細明體" w:hint="eastAsia"/>
                <w:color w:val="FF0000"/>
                <w:u w:val="single"/>
              </w:rPr>
              <w:t>行適當控管措施以符合「證券商經營股權性質群眾募資管理辦法」之相關規定。</w:t>
            </w:r>
            <w:bookmarkStart w:id="0" w:name="_GoBack"/>
            <w:bookmarkEnd w:id="0"/>
          </w:p>
          <w:p w:rsidR="00C61EC7" w:rsidRPr="00C80B9D" w:rsidRDefault="00C61EC7" w:rsidP="00EA5338">
            <w:pPr>
              <w:pStyle w:val="ab"/>
              <w:numPr>
                <w:ilvl w:val="1"/>
                <w:numId w:val="2"/>
              </w:numPr>
              <w:tabs>
                <w:tab w:val="left" w:pos="527"/>
              </w:tabs>
              <w:spacing w:line="400" w:lineRule="exact"/>
              <w:ind w:leftChars="0" w:rightChars="47" w:right="113" w:hanging="1123"/>
              <w:jc w:val="both"/>
              <w:rPr>
                <w:rFonts w:ascii="新細明體"/>
                <w:color w:val="000000"/>
                <w:spacing w:val="10"/>
              </w:rPr>
            </w:pPr>
            <w:r w:rsidRPr="00C80B9D">
              <w:rPr>
                <w:rFonts w:ascii="新細明體" w:hint="eastAsia"/>
                <w:color w:val="000000"/>
                <w:spacing w:val="10"/>
              </w:rPr>
              <w:t>糾紛及</w:t>
            </w:r>
            <w:proofErr w:type="gramStart"/>
            <w:r w:rsidRPr="00C80B9D">
              <w:rPr>
                <w:rFonts w:ascii="新細明體" w:hint="eastAsia"/>
                <w:color w:val="000000"/>
                <w:spacing w:val="10"/>
              </w:rPr>
              <w:t>訟</w:t>
            </w:r>
            <w:proofErr w:type="gramEnd"/>
            <w:r w:rsidRPr="00C80B9D">
              <w:rPr>
                <w:rFonts w:ascii="新細明體" w:hint="eastAsia"/>
                <w:color w:val="000000"/>
                <w:spacing w:val="10"/>
              </w:rPr>
              <w:t>訴之處理作業：</w:t>
            </w:r>
          </w:p>
          <w:p w:rsidR="00C61EC7" w:rsidRPr="00C80B9D" w:rsidRDefault="00C61EC7" w:rsidP="00EA5338">
            <w:pPr>
              <w:pStyle w:val="ab"/>
              <w:numPr>
                <w:ilvl w:val="0"/>
                <w:numId w:val="16"/>
              </w:numPr>
              <w:spacing w:line="400" w:lineRule="exact"/>
              <w:ind w:leftChars="0" w:left="822" w:hanging="567"/>
              <w:jc w:val="both"/>
              <w:rPr>
                <w:color w:val="000000"/>
                <w:spacing w:val="24"/>
              </w:rPr>
            </w:pPr>
            <w:r w:rsidRPr="00C80B9D">
              <w:rPr>
                <w:rFonts w:hint="eastAsia"/>
                <w:color w:val="000000"/>
                <w:spacing w:val="24"/>
              </w:rPr>
              <w:t>公司應訂定業務紛爭之處理作業程序並設置協調處理機制，以處理糾紛及受理客戶之申訴。</w:t>
            </w:r>
          </w:p>
          <w:p w:rsidR="00C61EC7" w:rsidRPr="00C80B9D" w:rsidRDefault="00C61EC7" w:rsidP="00EA5338">
            <w:pPr>
              <w:pStyle w:val="ab"/>
              <w:numPr>
                <w:ilvl w:val="0"/>
                <w:numId w:val="16"/>
              </w:numPr>
              <w:spacing w:line="400" w:lineRule="exact"/>
              <w:ind w:leftChars="0" w:left="822" w:hanging="567"/>
              <w:jc w:val="both"/>
              <w:rPr>
                <w:color w:val="000000"/>
                <w:spacing w:val="24"/>
              </w:rPr>
            </w:pPr>
            <w:r w:rsidRPr="00C80B9D">
              <w:rPr>
                <w:rFonts w:hint="eastAsia"/>
                <w:color w:val="000000"/>
                <w:spacing w:val="24"/>
              </w:rPr>
              <w:t>公司與客戶發生糾紛或訴訟時，應依下列規定辦理：</w:t>
            </w:r>
          </w:p>
          <w:p w:rsidR="00C61EC7" w:rsidRPr="00C80B9D" w:rsidRDefault="00C61EC7" w:rsidP="00EA5338">
            <w:pPr>
              <w:pStyle w:val="ab"/>
              <w:numPr>
                <w:ilvl w:val="0"/>
                <w:numId w:val="17"/>
              </w:numPr>
              <w:spacing w:line="400" w:lineRule="exact"/>
              <w:ind w:leftChars="0"/>
              <w:jc w:val="both"/>
              <w:rPr>
                <w:color w:val="000000"/>
                <w:spacing w:val="24"/>
              </w:rPr>
            </w:pPr>
            <w:r w:rsidRPr="00C80B9D">
              <w:rPr>
                <w:rFonts w:hint="eastAsia"/>
                <w:color w:val="000000"/>
                <w:spacing w:val="24"/>
              </w:rPr>
              <w:t>與客戶發生交易糾紛時，應由業務單位會同內部稽核人員依規定處理程序辦理，事後應留存完整之處理報告紀錄。</w:t>
            </w:r>
          </w:p>
          <w:p w:rsidR="00C61EC7" w:rsidRPr="00C80B9D" w:rsidRDefault="00C61EC7" w:rsidP="00EA5338">
            <w:pPr>
              <w:pStyle w:val="ab"/>
              <w:numPr>
                <w:ilvl w:val="0"/>
                <w:numId w:val="17"/>
              </w:numPr>
              <w:spacing w:line="400" w:lineRule="exact"/>
              <w:ind w:leftChars="0"/>
              <w:jc w:val="both"/>
              <w:rPr>
                <w:color w:val="000000"/>
                <w:spacing w:val="24"/>
              </w:rPr>
            </w:pPr>
            <w:r w:rsidRPr="00C80B9D">
              <w:rPr>
                <w:rFonts w:hint="eastAsia"/>
                <w:color w:val="000000"/>
                <w:spacing w:val="24"/>
              </w:rPr>
              <w:t>與客戶發生訴訟時，應由業務單位依規定處理程序辦理並於知悉或事實</w:t>
            </w:r>
            <w:r w:rsidR="00D549EB">
              <w:rPr>
                <w:rFonts w:hint="eastAsia"/>
                <w:color w:val="000000"/>
                <w:spacing w:val="24"/>
              </w:rPr>
              <w:t>發生之日起五日</w:t>
            </w:r>
            <w:proofErr w:type="gramStart"/>
            <w:r w:rsidR="00D549EB">
              <w:rPr>
                <w:rFonts w:hint="eastAsia"/>
                <w:color w:val="000000"/>
                <w:spacing w:val="24"/>
              </w:rPr>
              <w:t>內函</w:t>
            </w:r>
            <w:proofErr w:type="gramEnd"/>
            <w:r w:rsidR="00D549EB">
              <w:rPr>
                <w:rFonts w:hint="eastAsia"/>
                <w:color w:val="000000"/>
                <w:spacing w:val="24"/>
              </w:rPr>
              <w:t>送櫃檯買賣中心，事後應留存完整之處理報告紀錄。</w:t>
            </w:r>
          </w:p>
        </w:tc>
        <w:tc>
          <w:tcPr>
            <w:tcW w:w="3119" w:type="dxa"/>
          </w:tcPr>
          <w:p w:rsidR="00C61EC7" w:rsidRPr="00297E3D" w:rsidRDefault="00C61EC7" w:rsidP="006B3501">
            <w:pPr>
              <w:spacing w:line="420" w:lineRule="exact"/>
              <w:ind w:right="92"/>
              <w:jc w:val="both"/>
              <w:rPr>
                <w:rFonts w:ascii="新細明體"/>
                <w:spacing w:val="10"/>
              </w:rPr>
            </w:pPr>
            <w:r w:rsidRPr="00297E3D">
              <w:rPr>
                <w:rFonts w:ascii="新細明體" w:hAnsi="新細明體" w:hint="eastAsia"/>
                <w:spacing w:val="10"/>
              </w:rPr>
              <w:lastRenderedPageBreak/>
              <w:t>法令規章：</w:t>
            </w:r>
          </w:p>
          <w:p w:rsidR="00C61EC7" w:rsidRPr="004426EA" w:rsidRDefault="000B1767" w:rsidP="00591921">
            <w:pPr>
              <w:numPr>
                <w:ilvl w:val="0"/>
                <w:numId w:val="23"/>
              </w:numPr>
              <w:spacing w:line="420" w:lineRule="exact"/>
              <w:ind w:right="92"/>
              <w:jc w:val="both"/>
              <w:rPr>
                <w:rFonts w:ascii="新細明體"/>
                <w:spacing w:val="10"/>
              </w:rPr>
            </w:pPr>
            <w:r>
              <w:rPr>
                <w:rFonts w:ascii="新細明體" w:hAnsi="新細明體" w:hint="eastAsia"/>
                <w:spacing w:val="10"/>
              </w:rPr>
              <w:t>證券商經營股權性質群眾募資管理辦法</w:t>
            </w:r>
          </w:p>
          <w:p w:rsidR="00C61EC7" w:rsidRPr="004426EA" w:rsidRDefault="00C61EC7" w:rsidP="00591921">
            <w:pPr>
              <w:numPr>
                <w:ilvl w:val="0"/>
                <w:numId w:val="23"/>
              </w:numPr>
              <w:spacing w:line="420" w:lineRule="exact"/>
              <w:ind w:right="92"/>
              <w:jc w:val="both"/>
              <w:rPr>
                <w:rFonts w:ascii="新細明體"/>
                <w:spacing w:val="10"/>
              </w:rPr>
            </w:pPr>
            <w:r>
              <w:rPr>
                <w:rFonts w:ascii="新細明體" w:hAnsi="新細明體" w:hint="eastAsia"/>
                <w:spacing w:val="10"/>
              </w:rPr>
              <w:t>證</w:t>
            </w:r>
            <w:r>
              <w:rPr>
                <w:rFonts w:ascii="新細明體" w:hAnsi="新細明體"/>
                <w:spacing w:val="10"/>
              </w:rPr>
              <w:t>券商管理規則</w:t>
            </w:r>
          </w:p>
          <w:p w:rsidR="00C61EC7" w:rsidRPr="004426EA" w:rsidRDefault="00C61EC7" w:rsidP="00591921">
            <w:pPr>
              <w:numPr>
                <w:ilvl w:val="0"/>
                <w:numId w:val="23"/>
              </w:numPr>
              <w:spacing w:line="420" w:lineRule="exact"/>
              <w:ind w:right="92"/>
              <w:jc w:val="both"/>
              <w:rPr>
                <w:rFonts w:ascii="新細明體"/>
                <w:spacing w:val="10"/>
              </w:rPr>
            </w:pPr>
            <w:r>
              <w:rPr>
                <w:rFonts w:ascii="新細明體" w:hAnsi="新細明體" w:hint="eastAsia"/>
                <w:spacing w:val="10"/>
              </w:rPr>
              <w:t>證</w:t>
            </w:r>
            <w:r>
              <w:rPr>
                <w:rFonts w:ascii="新細明體" w:hAnsi="新細明體"/>
                <w:spacing w:val="10"/>
              </w:rPr>
              <w:t>券商負責人及業務人員管理規則</w:t>
            </w:r>
          </w:p>
          <w:p w:rsidR="00C61EC7" w:rsidRPr="008D418A" w:rsidRDefault="00C61EC7" w:rsidP="00591921">
            <w:pPr>
              <w:numPr>
                <w:ilvl w:val="0"/>
                <w:numId w:val="23"/>
              </w:numPr>
              <w:spacing w:line="420" w:lineRule="exact"/>
              <w:ind w:right="92"/>
              <w:jc w:val="both"/>
              <w:rPr>
                <w:rFonts w:ascii="新細明體"/>
                <w:spacing w:val="10"/>
              </w:rPr>
            </w:pPr>
            <w:r>
              <w:rPr>
                <w:rFonts w:ascii="新細明體" w:hAnsi="新細明體" w:hint="eastAsia"/>
                <w:spacing w:val="10"/>
              </w:rPr>
              <w:t>證</w:t>
            </w:r>
            <w:r>
              <w:rPr>
                <w:rFonts w:ascii="新細明體" w:hAnsi="新細明體"/>
                <w:spacing w:val="10"/>
              </w:rPr>
              <w:t>券商及證券交易輔</w:t>
            </w:r>
            <w:r>
              <w:rPr>
                <w:rFonts w:ascii="新細明體" w:hAnsi="新細明體" w:hint="eastAsia"/>
                <w:spacing w:val="10"/>
              </w:rPr>
              <w:t>助</w:t>
            </w:r>
            <w:r>
              <w:rPr>
                <w:rFonts w:ascii="新細明體" w:hAnsi="新細明體"/>
                <w:spacing w:val="10"/>
              </w:rPr>
              <w:t>人營業處所場地及設備標準</w:t>
            </w:r>
          </w:p>
          <w:p w:rsidR="008D418A" w:rsidRPr="008D418A" w:rsidRDefault="008D418A" w:rsidP="00591921">
            <w:pPr>
              <w:numPr>
                <w:ilvl w:val="0"/>
                <w:numId w:val="23"/>
              </w:numPr>
              <w:spacing w:line="420" w:lineRule="exact"/>
              <w:ind w:right="92"/>
              <w:jc w:val="both"/>
              <w:rPr>
                <w:rFonts w:ascii="新細明體"/>
                <w:spacing w:val="10"/>
                <w:u w:val="single"/>
              </w:rPr>
            </w:pPr>
            <w:r w:rsidRPr="008D418A">
              <w:rPr>
                <w:rFonts w:ascii="新細明體" w:hAnsi="新細明體" w:hint="eastAsia"/>
                <w:color w:val="FF0000"/>
                <w:spacing w:val="10"/>
                <w:u w:val="single"/>
              </w:rPr>
              <w:t>105年1月27日金管證券字第1050001410號令</w:t>
            </w:r>
          </w:p>
          <w:p w:rsidR="00785177" w:rsidRPr="00EB4F3F" w:rsidRDefault="00785177" w:rsidP="00785177">
            <w:pPr>
              <w:spacing w:line="420" w:lineRule="exact"/>
              <w:ind w:right="92"/>
              <w:jc w:val="both"/>
              <w:rPr>
                <w:rFonts w:ascii="新細明體"/>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F9157A" w:rsidRDefault="00C61EC7" w:rsidP="00025DC8">
            <w:pPr>
              <w:spacing w:line="400" w:lineRule="exact"/>
              <w:ind w:left="28" w:right="28"/>
              <w:rPr>
                <w:rFonts w:ascii="新細明體"/>
                <w:color w:val="000000"/>
                <w:spacing w:val="10"/>
              </w:rPr>
            </w:pPr>
          </w:p>
          <w:p w:rsidR="00C61EC7" w:rsidRPr="008E62E2" w:rsidRDefault="00C61EC7" w:rsidP="008E62E2">
            <w:pPr>
              <w:spacing w:line="400" w:lineRule="exact"/>
              <w:ind w:rightChars="47" w:right="113"/>
              <w:jc w:val="both"/>
              <w:rPr>
                <w:rFonts w:ascii="新細明體"/>
                <w:color w:val="000000"/>
                <w:spacing w:val="10"/>
              </w:rPr>
            </w:pPr>
          </w:p>
        </w:tc>
      </w:tr>
    </w:tbl>
    <w:p w:rsidR="00004818" w:rsidRPr="002A54B6" w:rsidRDefault="00004818" w:rsidP="00D549EB">
      <w:pPr>
        <w:spacing w:line="400" w:lineRule="exact"/>
        <w:rPr>
          <w:rFonts w:ascii="新細明體"/>
          <w:color w:val="000000"/>
        </w:rPr>
      </w:pPr>
    </w:p>
    <w:sectPr w:rsidR="00004818" w:rsidRPr="002A54B6" w:rsidSect="006C58FE">
      <w:headerReference w:type="default" r:id="rId9"/>
      <w:footerReference w:type="default" r:id="rId10"/>
      <w:pgSz w:w="16840" w:h="11907" w:orient="landscape" w:code="9"/>
      <w:pgMar w:top="1418" w:right="1418" w:bottom="1418"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7D" w:rsidRDefault="0016117D">
      <w:pPr>
        <w:spacing w:line="240" w:lineRule="auto"/>
      </w:pPr>
      <w:r>
        <w:separator/>
      </w:r>
    </w:p>
  </w:endnote>
  <w:endnote w:type="continuationSeparator" w:id="0">
    <w:p w:rsidR="0016117D" w:rsidRDefault="00161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B9" w:rsidRDefault="0039742C">
    <w:pPr>
      <w:pStyle w:val="a6"/>
      <w:jc w:val="center"/>
    </w:pPr>
    <w:r>
      <w:fldChar w:fldCharType="begin"/>
    </w:r>
    <w:r w:rsidR="00BB1741">
      <w:instrText>PAGE   \* MERGEFORMAT</w:instrText>
    </w:r>
    <w:r>
      <w:fldChar w:fldCharType="separate"/>
    </w:r>
    <w:r w:rsidR="003D1749" w:rsidRPr="003D1749">
      <w:rPr>
        <w:noProof/>
        <w:lang w:val="zh-TW"/>
      </w:rPr>
      <w:t>8</w:t>
    </w:r>
    <w:r>
      <w:rPr>
        <w:noProof/>
        <w:lang w:val="zh-TW"/>
      </w:rPr>
      <w:fldChar w:fldCharType="end"/>
    </w:r>
  </w:p>
  <w:p w:rsidR="005E0FB9" w:rsidRDefault="005E0F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7D" w:rsidRDefault="0016117D">
      <w:pPr>
        <w:spacing w:line="240" w:lineRule="auto"/>
      </w:pPr>
      <w:r>
        <w:separator/>
      </w:r>
    </w:p>
  </w:footnote>
  <w:footnote w:type="continuationSeparator" w:id="0">
    <w:p w:rsidR="0016117D" w:rsidRDefault="001611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8C" w:rsidRPr="00C6568C" w:rsidRDefault="00C6568C" w:rsidP="00C6568C">
    <w:pPr>
      <w:pStyle w:val="1"/>
      <w:keepNext w:val="0"/>
      <w:adjustRightInd/>
      <w:snapToGrid w:val="0"/>
      <w:spacing w:before="0" w:after="120" w:line="400" w:lineRule="exact"/>
      <w:jc w:val="center"/>
      <w:textAlignment w:val="auto"/>
      <w:rPr>
        <w:sz w:val="36"/>
        <w:szCs w:val="36"/>
      </w:rPr>
    </w:pPr>
    <w:r w:rsidRPr="00C6568C">
      <w:rPr>
        <w:rFonts w:ascii="新細明體" w:hAnsi="Arial" w:cs="新細明體" w:hint="eastAsia"/>
        <w:color w:val="000000"/>
        <w:spacing w:val="10"/>
        <w:sz w:val="36"/>
        <w:szCs w:val="36"/>
      </w:rPr>
      <w:t>證券商內部控制制度標準規範</w:t>
    </w:r>
    <w:proofErr w:type="gramStart"/>
    <w:r w:rsidRPr="00C6568C">
      <w:rPr>
        <w:rFonts w:ascii="新細明體" w:hAnsi="Arial" w:cs="新細明體" w:hint="eastAsia"/>
        <w:color w:val="000000"/>
        <w:spacing w:val="10"/>
        <w:sz w:val="36"/>
        <w:szCs w:val="36"/>
      </w:rPr>
      <w:t>─</w:t>
    </w:r>
    <w:proofErr w:type="gramEnd"/>
    <w:r w:rsidRPr="00C6568C">
      <w:rPr>
        <w:rFonts w:ascii="新細明體" w:hAnsi="Arial" w:cs="新細明體" w:hint="eastAsia"/>
        <w:color w:val="000000"/>
        <w:spacing w:val="10"/>
        <w:sz w:val="36"/>
        <w:szCs w:val="36"/>
      </w:rPr>
      <w:t>內部控制制度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24"/>
    <w:multiLevelType w:val="hybridMultilevel"/>
    <w:tmpl w:val="A0486166"/>
    <w:lvl w:ilvl="0" w:tplc="2D6C13FA">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A3132FF"/>
    <w:multiLevelType w:val="hybridMultilevel"/>
    <w:tmpl w:val="B22AA14C"/>
    <w:lvl w:ilvl="0" w:tplc="9C3C2242">
      <w:start w:val="1"/>
      <w:numFmt w:val="taiwaneseCountingThousand"/>
      <w:lvlText w:val="(%1)"/>
      <w:lvlJc w:val="left"/>
      <w:pPr>
        <w:ind w:left="480" w:hanging="480"/>
      </w:pPr>
      <w:rPr>
        <w:rFonts w:cstheme="minorBid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7B3131"/>
    <w:multiLevelType w:val="hybridMultilevel"/>
    <w:tmpl w:val="7E4EE904"/>
    <w:lvl w:ilvl="0" w:tplc="230A8770">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0CA66441"/>
    <w:multiLevelType w:val="hybridMultilevel"/>
    <w:tmpl w:val="1F46049E"/>
    <w:lvl w:ilvl="0" w:tplc="0409000F">
      <w:start w:val="1"/>
      <w:numFmt w:val="decimal"/>
      <w:lvlText w:val="%1."/>
      <w:lvlJc w:val="left"/>
      <w:pPr>
        <w:ind w:left="480" w:hanging="480"/>
      </w:pPr>
    </w:lvl>
    <w:lvl w:ilvl="1" w:tplc="616242FE">
      <w:start w:val="1"/>
      <w:numFmt w:val="decimal"/>
      <w:lvlText w:val="%2."/>
      <w:lvlJc w:val="left"/>
      <w:pPr>
        <w:ind w:left="960" w:hanging="480"/>
      </w:pPr>
      <w:rPr>
        <w:rFonts w:asciiTheme="minorEastAsia" w:eastAsiaTheme="minorEastAsia" w:hAnsiTheme="minor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485CF6"/>
    <w:multiLevelType w:val="multilevel"/>
    <w:tmpl w:val="774C3820"/>
    <w:lvl w:ilvl="0">
      <w:start w:val="1"/>
      <w:numFmt w:val="taiwaneseCountingThousand"/>
      <w:suff w:val="space"/>
      <w:lvlText w:val="%1、"/>
      <w:lvlJc w:val="left"/>
      <w:pPr>
        <w:ind w:left="567" w:hanging="567"/>
      </w:pPr>
      <w:rPr>
        <w:rFonts w:cs="Times New Roman" w:hint="eastAsia"/>
      </w:rPr>
    </w:lvl>
    <w:lvl w:ilvl="1">
      <w:start w:val="1"/>
      <w:numFmt w:val="taiwaneseCountingThousand"/>
      <w:suff w:val="space"/>
      <w:lvlText w:val="%2、"/>
      <w:lvlJc w:val="left"/>
      <w:pPr>
        <w:ind w:left="1123" w:hanging="556"/>
      </w:pPr>
      <w:rPr>
        <w:rFonts w:ascii="Times New Roman" w:eastAsia="新細明體" w:hAnsi="Times New Roman" w:cs="Times New Roman"/>
      </w:rPr>
    </w:lvl>
    <w:lvl w:ilvl="2">
      <w:start w:val="1"/>
      <w:numFmt w:val="decimal"/>
      <w:lvlText w:val="%3."/>
      <w:lvlJc w:val="left"/>
      <w:pPr>
        <w:tabs>
          <w:tab w:val="num" w:pos="1588"/>
        </w:tabs>
        <w:ind w:left="1588" w:hanging="454"/>
      </w:pPr>
      <w:rPr>
        <w:rFonts w:cs="Times New Roman" w:hint="eastAsia"/>
      </w:rPr>
    </w:lvl>
    <w:lvl w:ilvl="3">
      <w:start w:val="1"/>
      <w:numFmt w:val="decimal"/>
      <w:lvlText w:val="(%4) "/>
      <w:lvlJc w:val="left"/>
      <w:pPr>
        <w:tabs>
          <w:tab w:val="num" w:pos="2126"/>
        </w:tabs>
        <w:ind w:left="2126" w:hanging="595"/>
      </w:pPr>
      <w:rPr>
        <w:rFonts w:cs="Times New Roman" w:hint="eastAsia"/>
      </w:rPr>
    </w:lvl>
    <w:lvl w:ilvl="4">
      <w:start w:val="1"/>
      <w:numFmt w:val="upperLetter"/>
      <w:suff w:val="space"/>
      <w:lvlText w:val="%5."/>
      <w:lvlJc w:val="left"/>
      <w:pPr>
        <w:ind w:left="2041" w:firstLine="170"/>
      </w:pPr>
      <w:rPr>
        <w:rFonts w:cs="Times New Roman" w:hint="eastAsia"/>
      </w:rPr>
    </w:lvl>
    <w:lvl w:ilvl="5">
      <w:start w:val="1"/>
      <w:numFmt w:val="lowerLetter"/>
      <w:suff w:val="space"/>
      <w:lvlText w:val="%6."/>
      <w:lvlJc w:val="left"/>
      <w:pPr>
        <w:ind w:left="2892" w:hanging="28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nsid w:val="122D758D"/>
    <w:multiLevelType w:val="singleLevel"/>
    <w:tmpl w:val="D83E8314"/>
    <w:lvl w:ilvl="0">
      <w:start w:val="1"/>
      <w:numFmt w:val="decimal"/>
      <w:lvlText w:val="%1."/>
      <w:lvlJc w:val="left"/>
      <w:pPr>
        <w:tabs>
          <w:tab w:val="num" w:pos="1007"/>
        </w:tabs>
        <w:ind w:left="1007" w:hanging="195"/>
      </w:pPr>
      <w:rPr>
        <w:rFonts w:ascii="新細明體" w:eastAsia="新細明體" w:cs="Times New Roman" w:hint="eastAsia"/>
        <w:color w:val="FF0000"/>
        <w:u w:val="single"/>
      </w:rPr>
    </w:lvl>
  </w:abstractNum>
  <w:abstractNum w:abstractNumId="6">
    <w:nsid w:val="12E9369E"/>
    <w:multiLevelType w:val="hybridMultilevel"/>
    <w:tmpl w:val="49DCFBD8"/>
    <w:lvl w:ilvl="0" w:tplc="9C3C2242">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CE695D"/>
    <w:multiLevelType w:val="hybridMultilevel"/>
    <w:tmpl w:val="E8C203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510531"/>
    <w:multiLevelType w:val="hybridMultilevel"/>
    <w:tmpl w:val="3F52B55C"/>
    <w:lvl w:ilvl="0" w:tplc="0409000F">
      <w:start w:val="1"/>
      <w:numFmt w:val="decimal"/>
      <w:lvlText w:val="%1."/>
      <w:lvlJc w:val="left"/>
      <w:pPr>
        <w:ind w:left="960" w:hanging="480"/>
      </w:pPr>
    </w:lvl>
    <w:lvl w:ilvl="1" w:tplc="1D989018">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1574246"/>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nsid w:val="2C0205F8"/>
    <w:multiLevelType w:val="hybridMultilevel"/>
    <w:tmpl w:val="3538FEF2"/>
    <w:lvl w:ilvl="0" w:tplc="4252BAFE">
      <w:start w:val="1"/>
      <w:numFmt w:val="decimal"/>
      <w:lvlText w:val="%1."/>
      <w:lvlJc w:val="left"/>
      <w:pPr>
        <w:ind w:left="960" w:hanging="480"/>
      </w:pPr>
      <w:rPr>
        <w:rFonts w:asciiTheme="minorEastAsia" w:eastAsiaTheme="minorEastAsia" w:hAnsi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3EC2B7D"/>
    <w:multiLevelType w:val="singleLevel"/>
    <w:tmpl w:val="387667C4"/>
    <w:lvl w:ilvl="0">
      <w:start w:val="1"/>
      <w:numFmt w:val="taiwaneseCountingThousand"/>
      <w:lvlText w:val="(%1)"/>
      <w:lvlJc w:val="left"/>
      <w:pPr>
        <w:tabs>
          <w:tab w:val="num" w:pos="840"/>
        </w:tabs>
        <w:ind w:left="840" w:hanging="510"/>
      </w:pPr>
      <w:rPr>
        <w:rFonts w:cs="Times New Roman" w:hint="eastAsia"/>
      </w:rPr>
    </w:lvl>
  </w:abstractNum>
  <w:abstractNum w:abstractNumId="12">
    <w:nsid w:val="46FA1B85"/>
    <w:multiLevelType w:val="hybridMultilevel"/>
    <w:tmpl w:val="F5F2E180"/>
    <w:lvl w:ilvl="0" w:tplc="519896FA">
      <w:start w:val="1"/>
      <w:numFmt w:val="taiwaneseCountingThousand"/>
      <w:lvlText w:val="(%1)"/>
      <w:lvlJc w:val="left"/>
      <w:pPr>
        <w:tabs>
          <w:tab w:val="num" w:pos="840"/>
        </w:tabs>
        <w:ind w:left="840" w:hanging="51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E27EFD"/>
    <w:multiLevelType w:val="hybridMultilevel"/>
    <w:tmpl w:val="A678E548"/>
    <w:lvl w:ilvl="0" w:tplc="BBA2E936">
      <w:start w:val="1"/>
      <w:numFmt w:val="taiwaneseCountingThousand"/>
      <w:lvlText w:val="(%1)"/>
      <w:lvlJc w:val="left"/>
      <w:pPr>
        <w:ind w:left="480" w:hanging="480"/>
      </w:pPr>
      <w:rPr>
        <w:rFonts w:asciiTheme="minorEastAsia" w:eastAsiaTheme="minorEastAsia" w:hAnsiTheme="minorEastAsia"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491800"/>
    <w:multiLevelType w:val="hybridMultilevel"/>
    <w:tmpl w:val="0070391A"/>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89A5BC0"/>
    <w:multiLevelType w:val="hybridMultilevel"/>
    <w:tmpl w:val="35AEAD24"/>
    <w:lvl w:ilvl="0" w:tplc="CF16F4D0">
      <w:start w:val="1"/>
      <w:numFmt w:val="decimal"/>
      <w:lvlText w:val="第%1條"/>
      <w:lvlJc w:val="left"/>
      <w:pPr>
        <w:ind w:left="840" w:hanging="84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E25767B"/>
    <w:multiLevelType w:val="hybridMultilevel"/>
    <w:tmpl w:val="5558640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F812D1E"/>
    <w:multiLevelType w:val="hybridMultilevel"/>
    <w:tmpl w:val="04B270D6"/>
    <w:lvl w:ilvl="0" w:tplc="9C3C2242">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BA5F0B"/>
    <w:multiLevelType w:val="hybridMultilevel"/>
    <w:tmpl w:val="00645B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A01705D"/>
    <w:multiLevelType w:val="multilevel"/>
    <w:tmpl w:val="64882E9C"/>
    <w:lvl w:ilvl="0">
      <w:start w:val="1"/>
      <w:numFmt w:val="taiwaneseCountingThousand"/>
      <w:suff w:val="nothing"/>
      <w:lvlText w:val="%1、"/>
      <w:lvlJc w:val="left"/>
      <w:pPr>
        <w:ind w:left="425" w:hanging="425"/>
      </w:pPr>
      <w:rPr>
        <w:rFonts w:cs="Times New Roman" w:hint="eastAsia"/>
      </w:rPr>
    </w:lvl>
    <w:lvl w:ilvl="1">
      <w:start w:val="1"/>
      <w:numFmt w:val="taiwaneseCountingThousand"/>
      <w:suff w:val="nothing"/>
      <w:lvlText w:val="(%2)"/>
      <w:lvlJc w:val="left"/>
      <w:pPr>
        <w:ind w:left="737" w:hanging="453"/>
      </w:pPr>
      <w:rPr>
        <w:rFonts w:cs="Times New Roman" w:hint="eastAsia"/>
      </w:rPr>
    </w:lvl>
    <w:lvl w:ilvl="2">
      <w:start w:val="1"/>
      <w:numFmt w:val="taiwaneseCountingThousand"/>
      <w:pStyle w:val="3"/>
      <w:suff w:val="nothing"/>
      <w:lvlText w:val="第%3項"/>
      <w:lvlJc w:val="left"/>
      <w:pPr>
        <w:ind w:left="1418" w:hanging="567"/>
      </w:pPr>
      <w:rPr>
        <w:rFonts w:cs="Times New Roman" w:hint="eastAsia"/>
      </w:rPr>
    </w:lvl>
    <w:lvl w:ilvl="3">
      <w:start w:val="1"/>
      <w:numFmt w:val="none"/>
      <w:pStyle w:val="4"/>
      <w:suff w:val="nothing"/>
      <w:lvlText w:val=""/>
      <w:lvlJc w:val="left"/>
      <w:pPr>
        <w:ind w:left="1984" w:hanging="708"/>
      </w:pPr>
      <w:rPr>
        <w:rFonts w:cs="Times New Roman" w:hint="eastAsia"/>
      </w:rPr>
    </w:lvl>
    <w:lvl w:ilvl="4">
      <w:start w:val="1"/>
      <w:numFmt w:val="none"/>
      <w:pStyle w:val="5"/>
      <w:suff w:val="nothing"/>
      <w:lvlText w:val=""/>
      <w:lvlJc w:val="left"/>
      <w:pPr>
        <w:ind w:left="2551" w:hanging="850"/>
      </w:pPr>
      <w:rPr>
        <w:rFonts w:cs="Times New Roman" w:hint="eastAsia"/>
      </w:rPr>
    </w:lvl>
    <w:lvl w:ilvl="5">
      <w:start w:val="1"/>
      <w:numFmt w:val="none"/>
      <w:pStyle w:val="6"/>
      <w:suff w:val="nothing"/>
      <w:lvlText w:val=""/>
      <w:lvlJc w:val="left"/>
      <w:pPr>
        <w:ind w:left="3260" w:hanging="1134"/>
      </w:pPr>
      <w:rPr>
        <w:rFonts w:cs="Times New Roman" w:hint="eastAsia"/>
      </w:rPr>
    </w:lvl>
    <w:lvl w:ilvl="6">
      <w:start w:val="1"/>
      <w:numFmt w:val="none"/>
      <w:pStyle w:val="7"/>
      <w:suff w:val="nothing"/>
      <w:lvlText w:val=""/>
      <w:lvlJc w:val="left"/>
      <w:pPr>
        <w:ind w:left="3827" w:hanging="1276"/>
      </w:pPr>
      <w:rPr>
        <w:rFonts w:cs="Times New Roman" w:hint="eastAsia"/>
      </w:rPr>
    </w:lvl>
    <w:lvl w:ilvl="7">
      <w:start w:val="1"/>
      <w:numFmt w:val="none"/>
      <w:pStyle w:val="8"/>
      <w:suff w:val="nothing"/>
      <w:lvlText w:val=""/>
      <w:lvlJc w:val="left"/>
      <w:pPr>
        <w:ind w:left="4394" w:hanging="1418"/>
      </w:pPr>
      <w:rPr>
        <w:rFonts w:cs="Times New Roman" w:hint="eastAsia"/>
      </w:rPr>
    </w:lvl>
    <w:lvl w:ilvl="8">
      <w:start w:val="1"/>
      <w:numFmt w:val="none"/>
      <w:pStyle w:val="9"/>
      <w:suff w:val="nothing"/>
      <w:lvlText w:val=""/>
      <w:lvlJc w:val="left"/>
      <w:pPr>
        <w:ind w:left="5102" w:hanging="1700"/>
      </w:pPr>
      <w:rPr>
        <w:rFonts w:cs="Times New Roman" w:hint="eastAsia"/>
      </w:rPr>
    </w:lvl>
  </w:abstractNum>
  <w:abstractNum w:abstractNumId="20">
    <w:nsid w:val="73862881"/>
    <w:multiLevelType w:val="hybridMultilevel"/>
    <w:tmpl w:val="26B08A24"/>
    <w:lvl w:ilvl="0" w:tplc="8B04AD74">
      <w:start w:val="1"/>
      <w:numFmt w:val="decimal"/>
      <w:lvlText w:val="%1."/>
      <w:lvlJc w:val="left"/>
      <w:pPr>
        <w:ind w:left="960" w:hanging="480"/>
      </w:pPr>
      <w:rPr>
        <w:rFonts w:asciiTheme="minorEastAsia" w:eastAsia="新細明體" w:hAnsi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3CF2306"/>
    <w:multiLevelType w:val="hybridMultilevel"/>
    <w:tmpl w:val="96D031C0"/>
    <w:lvl w:ilvl="0" w:tplc="9C3C2242">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5A63D30"/>
    <w:multiLevelType w:val="hybridMultilevel"/>
    <w:tmpl w:val="AFBADE78"/>
    <w:lvl w:ilvl="0" w:tplc="5E94E026">
      <w:start w:val="1"/>
      <w:numFmt w:val="taiwaneseCountingThousand"/>
      <w:lvlText w:val="%1、"/>
      <w:lvlJc w:val="left"/>
      <w:pPr>
        <w:ind w:left="720" w:hanging="360"/>
      </w:pPr>
      <w:rPr>
        <w:rFonts w:ascii="標楷體" w:eastAsia="標楷體" w:hAnsi="標楷體"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7715327F"/>
    <w:multiLevelType w:val="hybridMultilevel"/>
    <w:tmpl w:val="F44236CC"/>
    <w:lvl w:ilvl="0" w:tplc="9C3C2242">
      <w:start w:val="1"/>
      <w:numFmt w:val="taiwaneseCountingThousand"/>
      <w:lvlText w:val="(%1)"/>
      <w:lvlJc w:val="left"/>
      <w:pPr>
        <w:ind w:left="480" w:hanging="480"/>
      </w:pPr>
      <w:rPr>
        <w:rFonts w:cstheme="minorBid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E87832"/>
    <w:multiLevelType w:val="hybridMultilevel"/>
    <w:tmpl w:val="B5C012A2"/>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7E181F94"/>
    <w:multiLevelType w:val="hybridMultilevel"/>
    <w:tmpl w:val="49DCFBD8"/>
    <w:lvl w:ilvl="0" w:tplc="9C3C2242">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4"/>
  </w:num>
  <w:num w:numId="3">
    <w:abstractNumId w:val="11"/>
  </w:num>
  <w:num w:numId="4">
    <w:abstractNumId w:val="25"/>
  </w:num>
  <w:num w:numId="5">
    <w:abstractNumId w:val="17"/>
  </w:num>
  <w:num w:numId="6">
    <w:abstractNumId w:val="23"/>
  </w:num>
  <w:num w:numId="7">
    <w:abstractNumId w:val="22"/>
  </w:num>
  <w:num w:numId="8">
    <w:abstractNumId w:val="0"/>
  </w:num>
  <w:num w:numId="9">
    <w:abstractNumId w:val="2"/>
  </w:num>
  <w:num w:numId="10">
    <w:abstractNumId w:val="1"/>
  </w:num>
  <w:num w:numId="11">
    <w:abstractNumId w:val="16"/>
  </w:num>
  <w:num w:numId="12">
    <w:abstractNumId w:val="18"/>
  </w:num>
  <w:num w:numId="13">
    <w:abstractNumId w:val="8"/>
  </w:num>
  <w:num w:numId="14">
    <w:abstractNumId w:val="14"/>
  </w:num>
  <w:num w:numId="15">
    <w:abstractNumId w:val="9"/>
  </w:num>
  <w:num w:numId="16">
    <w:abstractNumId w:val="13"/>
  </w:num>
  <w:num w:numId="17">
    <w:abstractNumId w:val="10"/>
  </w:num>
  <w:num w:numId="18">
    <w:abstractNumId w:val="21"/>
  </w:num>
  <w:num w:numId="19">
    <w:abstractNumId w:val="7"/>
  </w:num>
  <w:num w:numId="20">
    <w:abstractNumId w:val="3"/>
  </w:num>
  <w:num w:numId="21">
    <w:abstractNumId w:val="20"/>
  </w:num>
  <w:num w:numId="22">
    <w:abstractNumId w:val="24"/>
  </w:num>
  <w:num w:numId="23">
    <w:abstractNumId w:val="12"/>
  </w:num>
  <w:num w:numId="24">
    <w:abstractNumId w:val="6"/>
  </w:num>
  <w:num w:numId="25">
    <w:abstractNumId w:val="15"/>
  </w:num>
  <w:num w:numId="2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43"/>
    <w:rsid w:val="00004818"/>
    <w:rsid w:val="00014E7C"/>
    <w:rsid w:val="00016E37"/>
    <w:rsid w:val="00025DC8"/>
    <w:rsid w:val="00037028"/>
    <w:rsid w:val="00041CE7"/>
    <w:rsid w:val="00042F95"/>
    <w:rsid w:val="00046B10"/>
    <w:rsid w:val="00055E28"/>
    <w:rsid w:val="0007789C"/>
    <w:rsid w:val="00082C7D"/>
    <w:rsid w:val="00083B32"/>
    <w:rsid w:val="000910B4"/>
    <w:rsid w:val="000A73E5"/>
    <w:rsid w:val="000B14DA"/>
    <w:rsid w:val="000B1767"/>
    <w:rsid w:val="000C3743"/>
    <w:rsid w:val="000C62C5"/>
    <w:rsid w:val="000D3F1B"/>
    <w:rsid w:val="000D49BB"/>
    <w:rsid w:val="000E2EDD"/>
    <w:rsid w:val="000E36E9"/>
    <w:rsid w:val="000E53D2"/>
    <w:rsid w:val="000F69EB"/>
    <w:rsid w:val="00102E53"/>
    <w:rsid w:val="00121FF7"/>
    <w:rsid w:val="00145480"/>
    <w:rsid w:val="00146A1B"/>
    <w:rsid w:val="00147098"/>
    <w:rsid w:val="00152BBC"/>
    <w:rsid w:val="0016117D"/>
    <w:rsid w:val="001639F7"/>
    <w:rsid w:val="00164CAF"/>
    <w:rsid w:val="00165371"/>
    <w:rsid w:val="0017049C"/>
    <w:rsid w:val="001724AB"/>
    <w:rsid w:val="001814F0"/>
    <w:rsid w:val="00196B3E"/>
    <w:rsid w:val="001972F9"/>
    <w:rsid w:val="001A3F13"/>
    <w:rsid w:val="001B12D5"/>
    <w:rsid w:val="001B7B2C"/>
    <w:rsid w:val="001C715C"/>
    <w:rsid w:val="001D0758"/>
    <w:rsid w:val="001D1602"/>
    <w:rsid w:val="001E6031"/>
    <w:rsid w:val="00201C0A"/>
    <w:rsid w:val="002026CE"/>
    <w:rsid w:val="00215314"/>
    <w:rsid w:val="00223FAE"/>
    <w:rsid w:val="002304B1"/>
    <w:rsid w:val="00244235"/>
    <w:rsid w:val="00251722"/>
    <w:rsid w:val="00253B4F"/>
    <w:rsid w:val="00265049"/>
    <w:rsid w:val="00265F94"/>
    <w:rsid w:val="00272912"/>
    <w:rsid w:val="00275919"/>
    <w:rsid w:val="00277087"/>
    <w:rsid w:val="00281C72"/>
    <w:rsid w:val="002879B0"/>
    <w:rsid w:val="00291616"/>
    <w:rsid w:val="00295C88"/>
    <w:rsid w:val="00297835"/>
    <w:rsid w:val="002A54B6"/>
    <w:rsid w:val="002B60AC"/>
    <w:rsid w:val="002C0609"/>
    <w:rsid w:val="002D3EFF"/>
    <w:rsid w:val="002E1D23"/>
    <w:rsid w:val="002F54F0"/>
    <w:rsid w:val="002F6812"/>
    <w:rsid w:val="002F7FAF"/>
    <w:rsid w:val="00310828"/>
    <w:rsid w:val="00312A7A"/>
    <w:rsid w:val="003360DD"/>
    <w:rsid w:val="0035416A"/>
    <w:rsid w:val="003666EB"/>
    <w:rsid w:val="003749E8"/>
    <w:rsid w:val="0038208D"/>
    <w:rsid w:val="0039742C"/>
    <w:rsid w:val="003A227D"/>
    <w:rsid w:val="003A6E22"/>
    <w:rsid w:val="003B42A5"/>
    <w:rsid w:val="003D0104"/>
    <w:rsid w:val="003D0BA1"/>
    <w:rsid w:val="003D0EFA"/>
    <w:rsid w:val="003D1749"/>
    <w:rsid w:val="003F39AF"/>
    <w:rsid w:val="00400E98"/>
    <w:rsid w:val="00404223"/>
    <w:rsid w:val="0040434E"/>
    <w:rsid w:val="00410B37"/>
    <w:rsid w:val="00411A00"/>
    <w:rsid w:val="00420F60"/>
    <w:rsid w:val="004426EA"/>
    <w:rsid w:val="0044346B"/>
    <w:rsid w:val="00445DB5"/>
    <w:rsid w:val="00447A67"/>
    <w:rsid w:val="00453454"/>
    <w:rsid w:val="00455266"/>
    <w:rsid w:val="00456D09"/>
    <w:rsid w:val="0046207D"/>
    <w:rsid w:val="004663BF"/>
    <w:rsid w:val="0047148F"/>
    <w:rsid w:val="00471983"/>
    <w:rsid w:val="004900C8"/>
    <w:rsid w:val="004B71DF"/>
    <w:rsid w:val="004C6F6E"/>
    <w:rsid w:val="004D12ED"/>
    <w:rsid w:val="004E4FE8"/>
    <w:rsid w:val="004F105A"/>
    <w:rsid w:val="004F25E9"/>
    <w:rsid w:val="004F3C76"/>
    <w:rsid w:val="004F4097"/>
    <w:rsid w:val="00503D0C"/>
    <w:rsid w:val="00516087"/>
    <w:rsid w:val="00531E3C"/>
    <w:rsid w:val="0054174D"/>
    <w:rsid w:val="005506F4"/>
    <w:rsid w:val="005575A8"/>
    <w:rsid w:val="005628EF"/>
    <w:rsid w:val="005714AC"/>
    <w:rsid w:val="0057590C"/>
    <w:rsid w:val="00581780"/>
    <w:rsid w:val="00591921"/>
    <w:rsid w:val="005A0224"/>
    <w:rsid w:val="005A50B0"/>
    <w:rsid w:val="005A55E6"/>
    <w:rsid w:val="005B226E"/>
    <w:rsid w:val="005B3F57"/>
    <w:rsid w:val="005B5BCE"/>
    <w:rsid w:val="005C11B2"/>
    <w:rsid w:val="005D39DA"/>
    <w:rsid w:val="005D68EB"/>
    <w:rsid w:val="005E0FB9"/>
    <w:rsid w:val="005F1704"/>
    <w:rsid w:val="005F207B"/>
    <w:rsid w:val="00602AD2"/>
    <w:rsid w:val="00610F41"/>
    <w:rsid w:val="00613763"/>
    <w:rsid w:val="00616DBE"/>
    <w:rsid w:val="00634E85"/>
    <w:rsid w:val="006402E0"/>
    <w:rsid w:val="00647E8B"/>
    <w:rsid w:val="00651C26"/>
    <w:rsid w:val="006548C0"/>
    <w:rsid w:val="0066199B"/>
    <w:rsid w:val="00671708"/>
    <w:rsid w:val="0067632F"/>
    <w:rsid w:val="00676CAB"/>
    <w:rsid w:val="00681503"/>
    <w:rsid w:val="00682317"/>
    <w:rsid w:val="006865E0"/>
    <w:rsid w:val="006A07C5"/>
    <w:rsid w:val="006A4F57"/>
    <w:rsid w:val="006A5CF3"/>
    <w:rsid w:val="006B2C21"/>
    <w:rsid w:val="006B3501"/>
    <w:rsid w:val="006B580C"/>
    <w:rsid w:val="006C0042"/>
    <w:rsid w:val="006C50A2"/>
    <w:rsid w:val="006C58FE"/>
    <w:rsid w:val="006D1294"/>
    <w:rsid w:val="006D28C2"/>
    <w:rsid w:val="006D446D"/>
    <w:rsid w:val="006D45C3"/>
    <w:rsid w:val="006D54CA"/>
    <w:rsid w:val="006E604C"/>
    <w:rsid w:val="006F6C07"/>
    <w:rsid w:val="00705D45"/>
    <w:rsid w:val="00710041"/>
    <w:rsid w:val="00712378"/>
    <w:rsid w:val="00713F10"/>
    <w:rsid w:val="00714CEF"/>
    <w:rsid w:val="00714D2E"/>
    <w:rsid w:val="00714E46"/>
    <w:rsid w:val="00715D74"/>
    <w:rsid w:val="00721E87"/>
    <w:rsid w:val="0074250C"/>
    <w:rsid w:val="00743CAD"/>
    <w:rsid w:val="00746149"/>
    <w:rsid w:val="007572E2"/>
    <w:rsid w:val="00765A6A"/>
    <w:rsid w:val="00784896"/>
    <w:rsid w:val="00785177"/>
    <w:rsid w:val="00787E6D"/>
    <w:rsid w:val="007916C0"/>
    <w:rsid w:val="007946F7"/>
    <w:rsid w:val="0079497F"/>
    <w:rsid w:val="007C0578"/>
    <w:rsid w:val="007D635A"/>
    <w:rsid w:val="007E2B43"/>
    <w:rsid w:val="007E40F4"/>
    <w:rsid w:val="007E5975"/>
    <w:rsid w:val="007E703B"/>
    <w:rsid w:val="007F0A5F"/>
    <w:rsid w:val="007F31DF"/>
    <w:rsid w:val="007F49DD"/>
    <w:rsid w:val="007F6B93"/>
    <w:rsid w:val="00800EBC"/>
    <w:rsid w:val="008147D8"/>
    <w:rsid w:val="00814FB3"/>
    <w:rsid w:val="00816789"/>
    <w:rsid w:val="00816D32"/>
    <w:rsid w:val="00830A1C"/>
    <w:rsid w:val="0085037A"/>
    <w:rsid w:val="00852B69"/>
    <w:rsid w:val="00871EDD"/>
    <w:rsid w:val="00877E7F"/>
    <w:rsid w:val="00880101"/>
    <w:rsid w:val="00881496"/>
    <w:rsid w:val="00884779"/>
    <w:rsid w:val="00887769"/>
    <w:rsid w:val="008A02D0"/>
    <w:rsid w:val="008A3F98"/>
    <w:rsid w:val="008A7327"/>
    <w:rsid w:val="008B1624"/>
    <w:rsid w:val="008B16B0"/>
    <w:rsid w:val="008B1A2B"/>
    <w:rsid w:val="008B6732"/>
    <w:rsid w:val="008B7FA5"/>
    <w:rsid w:val="008D418A"/>
    <w:rsid w:val="008E537B"/>
    <w:rsid w:val="008E62E2"/>
    <w:rsid w:val="008F4F9C"/>
    <w:rsid w:val="009062C5"/>
    <w:rsid w:val="00914324"/>
    <w:rsid w:val="00923D90"/>
    <w:rsid w:val="00931AE0"/>
    <w:rsid w:val="00937E0C"/>
    <w:rsid w:val="00956E4E"/>
    <w:rsid w:val="0096077E"/>
    <w:rsid w:val="00960B95"/>
    <w:rsid w:val="009654A6"/>
    <w:rsid w:val="00976196"/>
    <w:rsid w:val="00977E7E"/>
    <w:rsid w:val="00981C8D"/>
    <w:rsid w:val="0098414C"/>
    <w:rsid w:val="00985420"/>
    <w:rsid w:val="009858A8"/>
    <w:rsid w:val="00986FCE"/>
    <w:rsid w:val="009914EC"/>
    <w:rsid w:val="00996BC4"/>
    <w:rsid w:val="009A316B"/>
    <w:rsid w:val="009A6743"/>
    <w:rsid w:val="009B3940"/>
    <w:rsid w:val="009C2299"/>
    <w:rsid w:val="009E3370"/>
    <w:rsid w:val="009E5231"/>
    <w:rsid w:val="009E7B4B"/>
    <w:rsid w:val="009F56AF"/>
    <w:rsid w:val="00A04E45"/>
    <w:rsid w:val="00A05143"/>
    <w:rsid w:val="00A17156"/>
    <w:rsid w:val="00A24731"/>
    <w:rsid w:val="00A25949"/>
    <w:rsid w:val="00A335E4"/>
    <w:rsid w:val="00A37165"/>
    <w:rsid w:val="00A4335A"/>
    <w:rsid w:val="00A55C94"/>
    <w:rsid w:val="00A77A95"/>
    <w:rsid w:val="00A86000"/>
    <w:rsid w:val="00AA3778"/>
    <w:rsid w:val="00AB0C6D"/>
    <w:rsid w:val="00AB23B1"/>
    <w:rsid w:val="00AB2E63"/>
    <w:rsid w:val="00AB40EC"/>
    <w:rsid w:val="00AB414C"/>
    <w:rsid w:val="00AB6B10"/>
    <w:rsid w:val="00AB7B67"/>
    <w:rsid w:val="00AC207C"/>
    <w:rsid w:val="00AC6048"/>
    <w:rsid w:val="00AD3C40"/>
    <w:rsid w:val="00AD7543"/>
    <w:rsid w:val="00AE50A8"/>
    <w:rsid w:val="00AE6299"/>
    <w:rsid w:val="00AF09B8"/>
    <w:rsid w:val="00AF1CC9"/>
    <w:rsid w:val="00AF21BB"/>
    <w:rsid w:val="00B12A2D"/>
    <w:rsid w:val="00B13CF2"/>
    <w:rsid w:val="00B17C71"/>
    <w:rsid w:val="00B17F8A"/>
    <w:rsid w:val="00B24654"/>
    <w:rsid w:val="00B308C0"/>
    <w:rsid w:val="00B3240F"/>
    <w:rsid w:val="00B32A4F"/>
    <w:rsid w:val="00B46DBF"/>
    <w:rsid w:val="00B51CF8"/>
    <w:rsid w:val="00B533FC"/>
    <w:rsid w:val="00B66BAF"/>
    <w:rsid w:val="00B710BA"/>
    <w:rsid w:val="00B7466D"/>
    <w:rsid w:val="00B7761F"/>
    <w:rsid w:val="00B82E55"/>
    <w:rsid w:val="00B93A40"/>
    <w:rsid w:val="00BA3495"/>
    <w:rsid w:val="00BA4319"/>
    <w:rsid w:val="00BB1741"/>
    <w:rsid w:val="00BB34E2"/>
    <w:rsid w:val="00BB449C"/>
    <w:rsid w:val="00BC0F7A"/>
    <w:rsid w:val="00BD5A73"/>
    <w:rsid w:val="00BE1019"/>
    <w:rsid w:val="00BE5B95"/>
    <w:rsid w:val="00BE664D"/>
    <w:rsid w:val="00BF0B67"/>
    <w:rsid w:val="00BF70E7"/>
    <w:rsid w:val="00C02EC5"/>
    <w:rsid w:val="00C11C0A"/>
    <w:rsid w:val="00C144DB"/>
    <w:rsid w:val="00C17F81"/>
    <w:rsid w:val="00C3724E"/>
    <w:rsid w:val="00C42A39"/>
    <w:rsid w:val="00C437A1"/>
    <w:rsid w:val="00C531E8"/>
    <w:rsid w:val="00C541CA"/>
    <w:rsid w:val="00C60C4F"/>
    <w:rsid w:val="00C61DB5"/>
    <w:rsid w:val="00C61EC7"/>
    <w:rsid w:val="00C6568C"/>
    <w:rsid w:val="00C80B9D"/>
    <w:rsid w:val="00C81922"/>
    <w:rsid w:val="00C83223"/>
    <w:rsid w:val="00C86290"/>
    <w:rsid w:val="00C8678A"/>
    <w:rsid w:val="00C968B9"/>
    <w:rsid w:val="00CA03FA"/>
    <w:rsid w:val="00CA4C4D"/>
    <w:rsid w:val="00CB4244"/>
    <w:rsid w:val="00CB65D8"/>
    <w:rsid w:val="00CC21D3"/>
    <w:rsid w:val="00CD2CE3"/>
    <w:rsid w:val="00CD6456"/>
    <w:rsid w:val="00CE21D9"/>
    <w:rsid w:val="00CE54C3"/>
    <w:rsid w:val="00CF27BE"/>
    <w:rsid w:val="00CF5BFF"/>
    <w:rsid w:val="00CF7D33"/>
    <w:rsid w:val="00D312ED"/>
    <w:rsid w:val="00D42FC0"/>
    <w:rsid w:val="00D44F08"/>
    <w:rsid w:val="00D508B6"/>
    <w:rsid w:val="00D52C29"/>
    <w:rsid w:val="00D5320D"/>
    <w:rsid w:val="00D5324C"/>
    <w:rsid w:val="00D549EB"/>
    <w:rsid w:val="00D571CC"/>
    <w:rsid w:val="00D6361C"/>
    <w:rsid w:val="00D72702"/>
    <w:rsid w:val="00D83B9A"/>
    <w:rsid w:val="00D87965"/>
    <w:rsid w:val="00D93A98"/>
    <w:rsid w:val="00D96198"/>
    <w:rsid w:val="00DA2969"/>
    <w:rsid w:val="00DB06EA"/>
    <w:rsid w:val="00DB7088"/>
    <w:rsid w:val="00DD52F0"/>
    <w:rsid w:val="00DE4F26"/>
    <w:rsid w:val="00DF02DF"/>
    <w:rsid w:val="00DF749E"/>
    <w:rsid w:val="00DF7EDE"/>
    <w:rsid w:val="00E00D40"/>
    <w:rsid w:val="00E02E0A"/>
    <w:rsid w:val="00E047B6"/>
    <w:rsid w:val="00E05649"/>
    <w:rsid w:val="00E14938"/>
    <w:rsid w:val="00E2306A"/>
    <w:rsid w:val="00E25937"/>
    <w:rsid w:val="00E32D66"/>
    <w:rsid w:val="00E33D6B"/>
    <w:rsid w:val="00E44CAE"/>
    <w:rsid w:val="00E5061A"/>
    <w:rsid w:val="00E511FC"/>
    <w:rsid w:val="00E51440"/>
    <w:rsid w:val="00E543EE"/>
    <w:rsid w:val="00E8095A"/>
    <w:rsid w:val="00E81E55"/>
    <w:rsid w:val="00E84199"/>
    <w:rsid w:val="00E846BE"/>
    <w:rsid w:val="00E915A5"/>
    <w:rsid w:val="00E972A6"/>
    <w:rsid w:val="00EA5338"/>
    <w:rsid w:val="00EA5CAA"/>
    <w:rsid w:val="00EB4F3F"/>
    <w:rsid w:val="00EB6328"/>
    <w:rsid w:val="00EC3073"/>
    <w:rsid w:val="00EF5C1B"/>
    <w:rsid w:val="00EF5DD6"/>
    <w:rsid w:val="00F03804"/>
    <w:rsid w:val="00F0388B"/>
    <w:rsid w:val="00F06963"/>
    <w:rsid w:val="00F07CF0"/>
    <w:rsid w:val="00F10E00"/>
    <w:rsid w:val="00F120F9"/>
    <w:rsid w:val="00F17C2C"/>
    <w:rsid w:val="00F276A8"/>
    <w:rsid w:val="00F32398"/>
    <w:rsid w:val="00F456F7"/>
    <w:rsid w:val="00F47D22"/>
    <w:rsid w:val="00F531F3"/>
    <w:rsid w:val="00F533CF"/>
    <w:rsid w:val="00F56995"/>
    <w:rsid w:val="00F6029A"/>
    <w:rsid w:val="00F60FE2"/>
    <w:rsid w:val="00F666A0"/>
    <w:rsid w:val="00F7163C"/>
    <w:rsid w:val="00F75658"/>
    <w:rsid w:val="00F80067"/>
    <w:rsid w:val="00F834A1"/>
    <w:rsid w:val="00F9157A"/>
    <w:rsid w:val="00F95BFA"/>
    <w:rsid w:val="00F9770A"/>
    <w:rsid w:val="00FA110E"/>
    <w:rsid w:val="00FC0D15"/>
    <w:rsid w:val="00FC1B86"/>
    <w:rsid w:val="00FE6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0C"/>
    <w:pPr>
      <w:widowControl w:val="0"/>
      <w:adjustRightInd w:val="0"/>
      <w:spacing w:line="360" w:lineRule="atLeast"/>
      <w:textAlignment w:val="baseline"/>
    </w:pPr>
    <w:rPr>
      <w:sz w:val="24"/>
    </w:rPr>
  </w:style>
  <w:style w:type="paragraph" w:styleId="1">
    <w:name w:val="heading 1"/>
    <w:basedOn w:val="a"/>
    <w:next w:val="a"/>
    <w:link w:val="10"/>
    <w:uiPriority w:val="99"/>
    <w:qFormat/>
    <w:rsid w:val="00C6568C"/>
    <w:pPr>
      <w:keepNext/>
      <w:spacing w:before="180" w:after="180" w:line="720" w:lineRule="atLeast"/>
      <w:outlineLvl w:val="0"/>
    </w:pPr>
    <w:rPr>
      <w:rFonts w:ascii="Cambria" w:hAnsi="Cambria"/>
      <w:b/>
      <w:bCs/>
      <w:kern w:val="52"/>
      <w:sz w:val="52"/>
      <w:szCs w:val="52"/>
    </w:rPr>
  </w:style>
  <w:style w:type="paragraph" w:styleId="3">
    <w:name w:val="heading 3"/>
    <w:basedOn w:val="a"/>
    <w:next w:val="a0"/>
    <w:link w:val="30"/>
    <w:uiPriority w:val="99"/>
    <w:qFormat/>
    <w:rsid w:val="006C58FE"/>
    <w:pPr>
      <w:keepNext/>
      <w:numPr>
        <w:ilvl w:val="2"/>
        <w:numId w:val="1"/>
      </w:numPr>
      <w:spacing w:line="720" w:lineRule="atLeast"/>
      <w:outlineLvl w:val="2"/>
    </w:pPr>
    <w:rPr>
      <w:rFonts w:ascii="Arial" w:hAnsi="Arial"/>
      <w:b/>
      <w:sz w:val="36"/>
    </w:rPr>
  </w:style>
  <w:style w:type="paragraph" w:styleId="4">
    <w:name w:val="heading 4"/>
    <w:basedOn w:val="a"/>
    <w:next w:val="a0"/>
    <w:link w:val="40"/>
    <w:uiPriority w:val="99"/>
    <w:qFormat/>
    <w:rsid w:val="006C58FE"/>
    <w:pPr>
      <w:keepNext/>
      <w:numPr>
        <w:ilvl w:val="3"/>
        <w:numId w:val="1"/>
      </w:numPr>
      <w:spacing w:line="720" w:lineRule="atLeast"/>
      <w:outlineLvl w:val="3"/>
    </w:pPr>
    <w:rPr>
      <w:rFonts w:ascii="Arial" w:hAnsi="Arial"/>
      <w:sz w:val="36"/>
    </w:rPr>
  </w:style>
  <w:style w:type="paragraph" w:styleId="5">
    <w:name w:val="heading 5"/>
    <w:basedOn w:val="a"/>
    <w:next w:val="a0"/>
    <w:link w:val="50"/>
    <w:uiPriority w:val="99"/>
    <w:qFormat/>
    <w:rsid w:val="006C58FE"/>
    <w:pPr>
      <w:keepNext/>
      <w:numPr>
        <w:ilvl w:val="4"/>
        <w:numId w:val="1"/>
      </w:numPr>
      <w:spacing w:line="720" w:lineRule="atLeast"/>
      <w:outlineLvl w:val="4"/>
    </w:pPr>
    <w:rPr>
      <w:rFonts w:ascii="Arial" w:hAnsi="Arial"/>
      <w:b/>
      <w:sz w:val="36"/>
    </w:rPr>
  </w:style>
  <w:style w:type="paragraph" w:styleId="6">
    <w:name w:val="heading 6"/>
    <w:basedOn w:val="a"/>
    <w:next w:val="a0"/>
    <w:link w:val="60"/>
    <w:uiPriority w:val="99"/>
    <w:qFormat/>
    <w:rsid w:val="006C58FE"/>
    <w:pPr>
      <w:keepNext/>
      <w:numPr>
        <w:ilvl w:val="5"/>
        <w:numId w:val="1"/>
      </w:numPr>
      <w:spacing w:line="720" w:lineRule="atLeast"/>
      <w:outlineLvl w:val="5"/>
    </w:pPr>
    <w:rPr>
      <w:rFonts w:ascii="Arial" w:hAnsi="Arial"/>
      <w:sz w:val="36"/>
    </w:rPr>
  </w:style>
  <w:style w:type="paragraph" w:styleId="7">
    <w:name w:val="heading 7"/>
    <w:basedOn w:val="a"/>
    <w:next w:val="a0"/>
    <w:link w:val="70"/>
    <w:uiPriority w:val="99"/>
    <w:qFormat/>
    <w:rsid w:val="006C58FE"/>
    <w:pPr>
      <w:keepNext/>
      <w:numPr>
        <w:ilvl w:val="6"/>
        <w:numId w:val="1"/>
      </w:numPr>
      <w:spacing w:line="720" w:lineRule="atLeast"/>
      <w:outlineLvl w:val="6"/>
    </w:pPr>
    <w:rPr>
      <w:rFonts w:ascii="Arial" w:hAnsi="Arial"/>
      <w:b/>
      <w:sz w:val="36"/>
    </w:rPr>
  </w:style>
  <w:style w:type="paragraph" w:styleId="8">
    <w:name w:val="heading 8"/>
    <w:basedOn w:val="a"/>
    <w:next w:val="a0"/>
    <w:link w:val="80"/>
    <w:uiPriority w:val="99"/>
    <w:qFormat/>
    <w:rsid w:val="006C58FE"/>
    <w:pPr>
      <w:keepNext/>
      <w:numPr>
        <w:ilvl w:val="7"/>
        <w:numId w:val="1"/>
      </w:numPr>
      <w:spacing w:line="720" w:lineRule="atLeast"/>
      <w:outlineLvl w:val="7"/>
    </w:pPr>
    <w:rPr>
      <w:rFonts w:ascii="Arial" w:hAnsi="Arial"/>
      <w:sz w:val="36"/>
    </w:rPr>
  </w:style>
  <w:style w:type="paragraph" w:styleId="9">
    <w:name w:val="heading 9"/>
    <w:basedOn w:val="a"/>
    <w:next w:val="a0"/>
    <w:link w:val="90"/>
    <w:uiPriority w:val="99"/>
    <w:qFormat/>
    <w:rsid w:val="006C58FE"/>
    <w:pPr>
      <w:keepNext/>
      <w:numPr>
        <w:ilvl w:val="8"/>
        <w:numId w:val="1"/>
      </w:numPr>
      <w:spacing w:line="720" w:lineRule="atLeas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C6568C"/>
    <w:rPr>
      <w:rFonts w:ascii="Cambria" w:eastAsia="新細明體" w:hAnsi="Cambria" w:cs="Times New Roman"/>
      <w:b/>
      <w:kern w:val="52"/>
      <w:sz w:val="52"/>
    </w:rPr>
  </w:style>
  <w:style w:type="character" w:customStyle="1" w:styleId="30">
    <w:name w:val="標題 3 字元"/>
    <w:basedOn w:val="a1"/>
    <w:link w:val="3"/>
    <w:uiPriority w:val="99"/>
    <w:locked/>
    <w:rsid w:val="006C58FE"/>
    <w:rPr>
      <w:rFonts w:ascii="Arial" w:hAnsi="Arial"/>
      <w:b/>
      <w:sz w:val="36"/>
    </w:rPr>
  </w:style>
  <w:style w:type="character" w:customStyle="1" w:styleId="40">
    <w:name w:val="標題 4 字元"/>
    <w:basedOn w:val="a1"/>
    <w:link w:val="4"/>
    <w:uiPriority w:val="99"/>
    <w:locked/>
    <w:rsid w:val="006C58FE"/>
    <w:rPr>
      <w:rFonts w:ascii="Arial" w:hAnsi="Arial"/>
      <w:sz w:val="36"/>
    </w:rPr>
  </w:style>
  <w:style w:type="character" w:customStyle="1" w:styleId="50">
    <w:name w:val="標題 5 字元"/>
    <w:basedOn w:val="a1"/>
    <w:link w:val="5"/>
    <w:uiPriority w:val="99"/>
    <w:locked/>
    <w:rsid w:val="006C58FE"/>
    <w:rPr>
      <w:rFonts w:ascii="Arial" w:hAnsi="Arial"/>
      <w:b/>
      <w:sz w:val="36"/>
    </w:rPr>
  </w:style>
  <w:style w:type="character" w:customStyle="1" w:styleId="60">
    <w:name w:val="標題 6 字元"/>
    <w:basedOn w:val="a1"/>
    <w:link w:val="6"/>
    <w:uiPriority w:val="99"/>
    <w:locked/>
    <w:rsid w:val="006C58FE"/>
    <w:rPr>
      <w:rFonts w:ascii="Arial" w:hAnsi="Arial"/>
      <w:sz w:val="36"/>
    </w:rPr>
  </w:style>
  <w:style w:type="character" w:customStyle="1" w:styleId="70">
    <w:name w:val="標題 7 字元"/>
    <w:basedOn w:val="a1"/>
    <w:link w:val="7"/>
    <w:uiPriority w:val="99"/>
    <w:locked/>
    <w:rsid w:val="006C58FE"/>
    <w:rPr>
      <w:rFonts w:ascii="Arial" w:hAnsi="Arial"/>
      <w:b/>
      <w:sz w:val="36"/>
    </w:rPr>
  </w:style>
  <w:style w:type="character" w:customStyle="1" w:styleId="80">
    <w:name w:val="標題 8 字元"/>
    <w:basedOn w:val="a1"/>
    <w:link w:val="8"/>
    <w:uiPriority w:val="99"/>
    <w:locked/>
    <w:rsid w:val="006C58FE"/>
    <w:rPr>
      <w:rFonts w:ascii="Arial" w:hAnsi="Arial"/>
      <w:sz w:val="36"/>
    </w:rPr>
  </w:style>
  <w:style w:type="character" w:customStyle="1" w:styleId="90">
    <w:name w:val="標題 9 字元"/>
    <w:basedOn w:val="a1"/>
    <w:link w:val="9"/>
    <w:uiPriority w:val="99"/>
    <w:locked/>
    <w:rsid w:val="006C58FE"/>
    <w:rPr>
      <w:rFonts w:ascii="Arial" w:hAnsi="Arial"/>
      <w:sz w:val="36"/>
    </w:rPr>
  </w:style>
  <w:style w:type="paragraph" w:styleId="a4">
    <w:name w:val="header"/>
    <w:basedOn w:val="a"/>
    <w:link w:val="a5"/>
    <w:uiPriority w:val="99"/>
    <w:semiHidden/>
    <w:rsid w:val="006C58FE"/>
    <w:pPr>
      <w:tabs>
        <w:tab w:val="center" w:pos="4153"/>
        <w:tab w:val="right" w:pos="8306"/>
      </w:tabs>
    </w:pPr>
    <w:rPr>
      <w:sz w:val="20"/>
    </w:rPr>
  </w:style>
  <w:style w:type="character" w:customStyle="1" w:styleId="a5">
    <w:name w:val="頁首 字元"/>
    <w:basedOn w:val="a1"/>
    <w:link w:val="a4"/>
    <w:uiPriority w:val="99"/>
    <w:semiHidden/>
    <w:locked/>
    <w:rsid w:val="006C58FE"/>
    <w:rPr>
      <w:rFonts w:cs="Times New Roman"/>
    </w:rPr>
  </w:style>
  <w:style w:type="paragraph" w:styleId="a6">
    <w:name w:val="footer"/>
    <w:basedOn w:val="a"/>
    <w:link w:val="a7"/>
    <w:uiPriority w:val="99"/>
    <w:rsid w:val="006C58FE"/>
    <w:pPr>
      <w:tabs>
        <w:tab w:val="center" w:pos="4153"/>
        <w:tab w:val="right" w:pos="8306"/>
      </w:tabs>
    </w:pPr>
    <w:rPr>
      <w:sz w:val="20"/>
    </w:rPr>
  </w:style>
  <w:style w:type="character" w:customStyle="1" w:styleId="a7">
    <w:name w:val="頁尾 字元"/>
    <w:basedOn w:val="a1"/>
    <w:link w:val="a6"/>
    <w:uiPriority w:val="99"/>
    <w:locked/>
    <w:rsid w:val="006C58FE"/>
    <w:rPr>
      <w:rFonts w:cs="Times New Roman"/>
    </w:rPr>
  </w:style>
  <w:style w:type="character" w:styleId="a8">
    <w:name w:val="page number"/>
    <w:basedOn w:val="a1"/>
    <w:uiPriority w:val="99"/>
    <w:semiHidden/>
    <w:rsid w:val="006C58FE"/>
    <w:rPr>
      <w:rFonts w:cs="Times New Roman"/>
    </w:rPr>
  </w:style>
  <w:style w:type="paragraph" w:styleId="a0">
    <w:name w:val="Normal Indent"/>
    <w:basedOn w:val="a"/>
    <w:uiPriority w:val="99"/>
    <w:semiHidden/>
    <w:rsid w:val="006C58FE"/>
    <w:pPr>
      <w:ind w:left="480"/>
    </w:pPr>
  </w:style>
  <w:style w:type="paragraph" w:styleId="a9">
    <w:name w:val="Balloon Text"/>
    <w:basedOn w:val="a"/>
    <w:link w:val="aa"/>
    <w:uiPriority w:val="99"/>
    <w:semiHidden/>
    <w:rsid w:val="003749E8"/>
    <w:pPr>
      <w:spacing w:line="240" w:lineRule="auto"/>
    </w:pPr>
    <w:rPr>
      <w:rFonts w:ascii="Cambria" w:hAnsi="Cambria"/>
      <w:sz w:val="18"/>
      <w:szCs w:val="18"/>
    </w:rPr>
  </w:style>
  <w:style w:type="character" w:customStyle="1" w:styleId="aa">
    <w:name w:val="註解方塊文字 字元"/>
    <w:basedOn w:val="a1"/>
    <w:link w:val="a9"/>
    <w:uiPriority w:val="99"/>
    <w:semiHidden/>
    <w:locked/>
    <w:rsid w:val="003749E8"/>
    <w:rPr>
      <w:rFonts w:ascii="Cambria" w:eastAsia="新細明體" w:hAnsi="Cambria" w:cs="Times New Roman"/>
      <w:sz w:val="18"/>
    </w:rPr>
  </w:style>
  <w:style w:type="paragraph" w:styleId="ab">
    <w:name w:val="List Paragraph"/>
    <w:basedOn w:val="a"/>
    <w:uiPriority w:val="99"/>
    <w:qFormat/>
    <w:rsid w:val="00871EDD"/>
    <w:pPr>
      <w:ind w:leftChars="200" w:left="480"/>
    </w:pPr>
  </w:style>
  <w:style w:type="paragraph" w:styleId="2">
    <w:name w:val="Body Text 2"/>
    <w:basedOn w:val="a"/>
    <w:link w:val="20"/>
    <w:uiPriority w:val="99"/>
    <w:rsid w:val="00DF02DF"/>
    <w:pPr>
      <w:adjustRightInd/>
      <w:snapToGrid w:val="0"/>
      <w:spacing w:line="360" w:lineRule="exact"/>
      <w:jc w:val="both"/>
      <w:textAlignment w:val="auto"/>
    </w:pPr>
    <w:rPr>
      <w:rFonts w:ascii="新細明體" w:cs="新細明體"/>
      <w:color w:val="0000FF"/>
      <w:spacing w:val="10"/>
      <w:kern w:val="2"/>
      <w:szCs w:val="24"/>
      <w:u w:val="single"/>
    </w:rPr>
  </w:style>
  <w:style w:type="character" w:customStyle="1" w:styleId="20">
    <w:name w:val="本文 2 字元"/>
    <w:basedOn w:val="a1"/>
    <w:link w:val="2"/>
    <w:uiPriority w:val="99"/>
    <w:locked/>
    <w:rsid w:val="00DF02DF"/>
    <w:rPr>
      <w:rFonts w:ascii="新細明體" w:cs="Times New Roman"/>
      <w:color w:val="0000FF"/>
      <w:spacing w:val="10"/>
      <w:kern w:val="2"/>
      <w:sz w:val="24"/>
      <w:u w:val="single"/>
    </w:rPr>
  </w:style>
  <w:style w:type="paragraph" w:styleId="HTML">
    <w:name w:val="HTML Preformatted"/>
    <w:basedOn w:val="a"/>
    <w:link w:val="HTML0"/>
    <w:uiPriority w:val="99"/>
    <w:rsid w:val="000E5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uiPriority w:val="99"/>
    <w:locked/>
    <w:rsid w:val="000E53D2"/>
    <w:rPr>
      <w:rFonts w:ascii="細明體" w:eastAsia="細明體" w:hAnsi="細明體" w:cs="Times New Roman"/>
      <w:sz w:val="24"/>
      <w:lang w:val="en-US" w:eastAsia="zh-TW"/>
    </w:rPr>
  </w:style>
  <w:style w:type="character" w:styleId="ac">
    <w:name w:val="Hyperlink"/>
    <w:basedOn w:val="a1"/>
    <w:uiPriority w:val="99"/>
    <w:semiHidden/>
    <w:unhideWhenUsed/>
    <w:rsid w:val="00D6361C"/>
    <w:rPr>
      <w:color w:val="0033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0C"/>
    <w:pPr>
      <w:widowControl w:val="0"/>
      <w:adjustRightInd w:val="0"/>
      <w:spacing w:line="360" w:lineRule="atLeast"/>
      <w:textAlignment w:val="baseline"/>
    </w:pPr>
    <w:rPr>
      <w:sz w:val="24"/>
    </w:rPr>
  </w:style>
  <w:style w:type="paragraph" w:styleId="1">
    <w:name w:val="heading 1"/>
    <w:basedOn w:val="a"/>
    <w:next w:val="a"/>
    <w:link w:val="10"/>
    <w:uiPriority w:val="99"/>
    <w:qFormat/>
    <w:rsid w:val="00C6568C"/>
    <w:pPr>
      <w:keepNext/>
      <w:spacing w:before="180" w:after="180" w:line="720" w:lineRule="atLeast"/>
      <w:outlineLvl w:val="0"/>
    </w:pPr>
    <w:rPr>
      <w:rFonts w:ascii="Cambria" w:hAnsi="Cambria"/>
      <w:b/>
      <w:bCs/>
      <w:kern w:val="52"/>
      <w:sz w:val="52"/>
      <w:szCs w:val="52"/>
    </w:rPr>
  </w:style>
  <w:style w:type="paragraph" w:styleId="3">
    <w:name w:val="heading 3"/>
    <w:basedOn w:val="a"/>
    <w:next w:val="a0"/>
    <w:link w:val="30"/>
    <w:uiPriority w:val="99"/>
    <w:qFormat/>
    <w:rsid w:val="006C58FE"/>
    <w:pPr>
      <w:keepNext/>
      <w:numPr>
        <w:ilvl w:val="2"/>
        <w:numId w:val="1"/>
      </w:numPr>
      <w:spacing w:line="720" w:lineRule="atLeast"/>
      <w:outlineLvl w:val="2"/>
    </w:pPr>
    <w:rPr>
      <w:rFonts w:ascii="Arial" w:hAnsi="Arial"/>
      <w:b/>
      <w:sz w:val="36"/>
    </w:rPr>
  </w:style>
  <w:style w:type="paragraph" w:styleId="4">
    <w:name w:val="heading 4"/>
    <w:basedOn w:val="a"/>
    <w:next w:val="a0"/>
    <w:link w:val="40"/>
    <w:uiPriority w:val="99"/>
    <w:qFormat/>
    <w:rsid w:val="006C58FE"/>
    <w:pPr>
      <w:keepNext/>
      <w:numPr>
        <w:ilvl w:val="3"/>
        <w:numId w:val="1"/>
      </w:numPr>
      <w:spacing w:line="720" w:lineRule="atLeast"/>
      <w:outlineLvl w:val="3"/>
    </w:pPr>
    <w:rPr>
      <w:rFonts w:ascii="Arial" w:hAnsi="Arial"/>
      <w:sz w:val="36"/>
    </w:rPr>
  </w:style>
  <w:style w:type="paragraph" w:styleId="5">
    <w:name w:val="heading 5"/>
    <w:basedOn w:val="a"/>
    <w:next w:val="a0"/>
    <w:link w:val="50"/>
    <w:uiPriority w:val="99"/>
    <w:qFormat/>
    <w:rsid w:val="006C58FE"/>
    <w:pPr>
      <w:keepNext/>
      <w:numPr>
        <w:ilvl w:val="4"/>
        <w:numId w:val="1"/>
      </w:numPr>
      <w:spacing w:line="720" w:lineRule="atLeast"/>
      <w:outlineLvl w:val="4"/>
    </w:pPr>
    <w:rPr>
      <w:rFonts w:ascii="Arial" w:hAnsi="Arial"/>
      <w:b/>
      <w:sz w:val="36"/>
    </w:rPr>
  </w:style>
  <w:style w:type="paragraph" w:styleId="6">
    <w:name w:val="heading 6"/>
    <w:basedOn w:val="a"/>
    <w:next w:val="a0"/>
    <w:link w:val="60"/>
    <w:uiPriority w:val="99"/>
    <w:qFormat/>
    <w:rsid w:val="006C58FE"/>
    <w:pPr>
      <w:keepNext/>
      <w:numPr>
        <w:ilvl w:val="5"/>
        <w:numId w:val="1"/>
      </w:numPr>
      <w:spacing w:line="720" w:lineRule="atLeast"/>
      <w:outlineLvl w:val="5"/>
    </w:pPr>
    <w:rPr>
      <w:rFonts w:ascii="Arial" w:hAnsi="Arial"/>
      <w:sz w:val="36"/>
    </w:rPr>
  </w:style>
  <w:style w:type="paragraph" w:styleId="7">
    <w:name w:val="heading 7"/>
    <w:basedOn w:val="a"/>
    <w:next w:val="a0"/>
    <w:link w:val="70"/>
    <w:uiPriority w:val="99"/>
    <w:qFormat/>
    <w:rsid w:val="006C58FE"/>
    <w:pPr>
      <w:keepNext/>
      <w:numPr>
        <w:ilvl w:val="6"/>
        <w:numId w:val="1"/>
      </w:numPr>
      <w:spacing w:line="720" w:lineRule="atLeast"/>
      <w:outlineLvl w:val="6"/>
    </w:pPr>
    <w:rPr>
      <w:rFonts w:ascii="Arial" w:hAnsi="Arial"/>
      <w:b/>
      <w:sz w:val="36"/>
    </w:rPr>
  </w:style>
  <w:style w:type="paragraph" w:styleId="8">
    <w:name w:val="heading 8"/>
    <w:basedOn w:val="a"/>
    <w:next w:val="a0"/>
    <w:link w:val="80"/>
    <w:uiPriority w:val="99"/>
    <w:qFormat/>
    <w:rsid w:val="006C58FE"/>
    <w:pPr>
      <w:keepNext/>
      <w:numPr>
        <w:ilvl w:val="7"/>
        <w:numId w:val="1"/>
      </w:numPr>
      <w:spacing w:line="720" w:lineRule="atLeast"/>
      <w:outlineLvl w:val="7"/>
    </w:pPr>
    <w:rPr>
      <w:rFonts w:ascii="Arial" w:hAnsi="Arial"/>
      <w:sz w:val="36"/>
    </w:rPr>
  </w:style>
  <w:style w:type="paragraph" w:styleId="9">
    <w:name w:val="heading 9"/>
    <w:basedOn w:val="a"/>
    <w:next w:val="a0"/>
    <w:link w:val="90"/>
    <w:uiPriority w:val="99"/>
    <w:qFormat/>
    <w:rsid w:val="006C58FE"/>
    <w:pPr>
      <w:keepNext/>
      <w:numPr>
        <w:ilvl w:val="8"/>
        <w:numId w:val="1"/>
      </w:numPr>
      <w:spacing w:line="720" w:lineRule="atLeas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C6568C"/>
    <w:rPr>
      <w:rFonts w:ascii="Cambria" w:eastAsia="新細明體" w:hAnsi="Cambria" w:cs="Times New Roman"/>
      <w:b/>
      <w:kern w:val="52"/>
      <w:sz w:val="52"/>
    </w:rPr>
  </w:style>
  <w:style w:type="character" w:customStyle="1" w:styleId="30">
    <w:name w:val="標題 3 字元"/>
    <w:basedOn w:val="a1"/>
    <w:link w:val="3"/>
    <w:uiPriority w:val="99"/>
    <w:locked/>
    <w:rsid w:val="006C58FE"/>
    <w:rPr>
      <w:rFonts w:ascii="Arial" w:hAnsi="Arial"/>
      <w:b/>
      <w:sz w:val="36"/>
    </w:rPr>
  </w:style>
  <w:style w:type="character" w:customStyle="1" w:styleId="40">
    <w:name w:val="標題 4 字元"/>
    <w:basedOn w:val="a1"/>
    <w:link w:val="4"/>
    <w:uiPriority w:val="99"/>
    <w:locked/>
    <w:rsid w:val="006C58FE"/>
    <w:rPr>
      <w:rFonts w:ascii="Arial" w:hAnsi="Arial"/>
      <w:sz w:val="36"/>
    </w:rPr>
  </w:style>
  <w:style w:type="character" w:customStyle="1" w:styleId="50">
    <w:name w:val="標題 5 字元"/>
    <w:basedOn w:val="a1"/>
    <w:link w:val="5"/>
    <w:uiPriority w:val="99"/>
    <w:locked/>
    <w:rsid w:val="006C58FE"/>
    <w:rPr>
      <w:rFonts w:ascii="Arial" w:hAnsi="Arial"/>
      <w:b/>
      <w:sz w:val="36"/>
    </w:rPr>
  </w:style>
  <w:style w:type="character" w:customStyle="1" w:styleId="60">
    <w:name w:val="標題 6 字元"/>
    <w:basedOn w:val="a1"/>
    <w:link w:val="6"/>
    <w:uiPriority w:val="99"/>
    <w:locked/>
    <w:rsid w:val="006C58FE"/>
    <w:rPr>
      <w:rFonts w:ascii="Arial" w:hAnsi="Arial"/>
      <w:sz w:val="36"/>
    </w:rPr>
  </w:style>
  <w:style w:type="character" w:customStyle="1" w:styleId="70">
    <w:name w:val="標題 7 字元"/>
    <w:basedOn w:val="a1"/>
    <w:link w:val="7"/>
    <w:uiPriority w:val="99"/>
    <w:locked/>
    <w:rsid w:val="006C58FE"/>
    <w:rPr>
      <w:rFonts w:ascii="Arial" w:hAnsi="Arial"/>
      <w:b/>
      <w:sz w:val="36"/>
    </w:rPr>
  </w:style>
  <w:style w:type="character" w:customStyle="1" w:styleId="80">
    <w:name w:val="標題 8 字元"/>
    <w:basedOn w:val="a1"/>
    <w:link w:val="8"/>
    <w:uiPriority w:val="99"/>
    <w:locked/>
    <w:rsid w:val="006C58FE"/>
    <w:rPr>
      <w:rFonts w:ascii="Arial" w:hAnsi="Arial"/>
      <w:sz w:val="36"/>
    </w:rPr>
  </w:style>
  <w:style w:type="character" w:customStyle="1" w:styleId="90">
    <w:name w:val="標題 9 字元"/>
    <w:basedOn w:val="a1"/>
    <w:link w:val="9"/>
    <w:uiPriority w:val="99"/>
    <w:locked/>
    <w:rsid w:val="006C58FE"/>
    <w:rPr>
      <w:rFonts w:ascii="Arial" w:hAnsi="Arial"/>
      <w:sz w:val="36"/>
    </w:rPr>
  </w:style>
  <w:style w:type="paragraph" w:styleId="a4">
    <w:name w:val="header"/>
    <w:basedOn w:val="a"/>
    <w:link w:val="a5"/>
    <w:uiPriority w:val="99"/>
    <w:semiHidden/>
    <w:rsid w:val="006C58FE"/>
    <w:pPr>
      <w:tabs>
        <w:tab w:val="center" w:pos="4153"/>
        <w:tab w:val="right" w:pos="8306"/>
      </w:tabs>
    </w:pPr>
    <w:rPr>
      <w:sz w:val="20"/>
    </w:rPr>
  </w:style>
  <w:style w:type="character" w:customStyle="1" w:styleId="a5">
    <w:name w:val="頁首 字元"/>
    <w:basedOn w:val="a1"/>
    <w:link w:val="a4"/>
    <w:uiPriority w:val="99"/>
    <w:semiHidden/>
    <w:locked/>
    <w:rsid w:val="006C58FE"/>
    <w:rPr>
      <w:rFonts w:cs="Times New Roman"/>
    </w:rPr>
  </w:style>
  <w:style w:type="paragraph" w:styleId="a6">
    <w:name w:val="footer"/>
    <w:basedOn w:val="a"/>
    <w:link w:val="a7"/>
    <w:uiPriority w:val="99"/>
    <w:rsid w:val="006C58FE"/>
    <w:pPr>
      <w:tabs>
        <w:tab w:val="center" w:pos="4153"/>
        <w:tab w:val="right" w:pos="8306"/>
      </w:tabs>
    </w:pPr>
    <w:rPr>
      <w:sz w:val="20"/>
    </w:rPr>
  </w:style>
  <w:style w:type="character" w:customStyle="1" w:styleId="a7">
    <w:name w:val="頁尾 字元"/>
    <w:basedOn w:val="a1"/>
    <w:link w:val="a6"/>
    <w:uiPriority w:val="99"/>
    <w:locked/>
    <w:rsid w:val="006C58FE"/>
    <w:rPr>
      <w:rFonts w:cs="Times New Roman"/>
    </w:rPr>
  </w:style>
  <w:style w:type="character" w:styleId="a8">
    <w:name w:val="page number"/>
    <w:basedOn w:val="a1"/>
    <w:uiPriority w:val="99"/>
    <w:semiHidden/>
    <w:rsid w:val="006C58FE"/>
    <w:rPr>
      <w:rFonts w:cs="Times New Roman"/>
    </w:rPr>
  </w:style>
  <w:style w:type="paragraph" w:styleId="a0">
    <w:name w:val="Normal Indent"/>
    <w:basedOn w:val="a"/>
    <w:uiPriority w:val="99"/>
    <w:semiHidden/>
    <w:rsid w:val="006C58FE"/>
    <w:pPr>
      <w:ind w:left="480"/>
    </w:pPr>
  </w:style>
  <w:style w:type="paragraph" w:styleId="a9">
    <w:name w:val="Balloon Text"/>
    <w:basedOn w:val="a"/>
    <w:link w:val="aa"/>
    <w:uiPriority w:val="99"/>
    <w:semiHidden/>
    <w:rsid w:val="003749E8"/>
    <w:pPr>
      <w:spacing w:line="240" w:lineRule="auto"/>
    </w:pPr>
    <w:rPr>
      <w:rFonts w:ascii="Cambria" w:hAnsi="Cambria"/>
      <w:sz w:val="18"/>
      <w:szCs w:val="18"/>
    </w:rPr>
  </w:style>
  <w:style w:type="character" w:customStyle="1" w:styleId="aa">
    <w:name w:val="註解方塊文字 字元"/>
    <w:basedOn w:val="a1"/>
    <w:link w:val="a9"/>
    <w:uiPriority w:val="99"/>
    <w:semiHidden/>
    <w:locked/>
    <w:rsid w:val="003749E8"/>
    <w:rPr>
      <w:rFonts w:ascii="Cambria" w:eastAsia="新細明體" w:hAnsi="Cambria" w:cs="Times New Roman"/>
      <w:sz w:val="18"/>
    </w:rPr>
  </w:style>
  <w:style w:type="paragraph" w:styleId="ab">
    <w:name w:val="List Paragraph"/>
    <w:basedOn w:val="a"/>
    <w:uiPriority w:val="99"/>
    <w:qFormat/>
    <w:rsid w:val="00871EDD"/>
    <w:pPr>
      <w:ind w:leftChars="200" w:left="480"/>
    </w:pPr>
  </w:style>
  <w:style w:type="paragraph" w:styleId="2">
    <w:name w:val="Body Text 2"/>
    <w:basedOn w:val="a"/>
    <w:link w:val="20"/>
    <w:uiPriority w:val="99"/>
    <w:rsid w:val="00DF02DF"/>
    <w:pPr>
      <w:adjustRightInd/>
      <w:snapToGrid w:val="0"/>
      <w:spacing w:line="360" w:lineRule="exact"/>
      <w:jc w:val="both"/>
      <w:textAlignment w:val="auto"/>
    </w:pPr>
    <w:rPr>
      <w:rFonts w:ascii="新細明體" w:cs="新細明體"/>
      <w:color w:val="0000FF"/>
      <w:spacing w:val="10"/>
      <w:kern w:val="2"/>
      <w:szCs w:val="24"/>
      <w:u w:val="single"/>
    </w:rPr>
  </w:style>
  <w:style w:type="character" w:customStyle="1" w:styleId="20">
    <w:name w:val="本文 2 字元"/>
    <w:basedOn w:val="a1"/>
    <w:link w:val="2"/>
    <w:uiPriority w:val="99"/>
    <w:locked/>
    <w:rsid w:val="00DF02DF"/>
    <w:rPr>
      <w:rFonts w:ascii="新細明體" w:cs="Times New Roman"/>
      <w:color w:val="0000FF"/>
      <w:spacing w:val="10"/>
      <w:kern w:val="2"/>
      <w:sz w:val="24"/>
      <w:u w:val="single"/>
    </w:rPr>
  </w:style>
  <w:style w:type="paragraph" w:styleId="HTML">
    <w:name w:val="HTML Preformatted"/>
    <w:basedOn w:val="a"/>
    <w:link w:val="HTML0"/>
    <w:uiPriority w:val="99"/>
    <w:rsid w:val="000E5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uiPriority w:val="99"/>
    <w:locked/>
    <w:rsid w:val="000E53D2"/>
    <w:rPr>
      <w:rFonts w:ascii="細明體" w:eastAsia="細明體" w:hAnsi="細明體" w:cs="Times New Roman"/>
      <w:sz w:val="24"/>
      <w:lang w:val="en-US" w:eastAsia="zh-TW"/>
    </w:rPr>
  </w:style>
  <w:style w:type="character" w:styleId="ac">
    <w:name w:val="Hyperlink"/>
    <w:basedOn w:val="a1"/>
    <w:uiPriority w:val="99"/>
    <w:semiHidden/>
    <w:unhideWhenUsed/>
    <w:rsid w:val="00D6361C"/>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89621">
      <w:marLeft w:val="0"/>
      <w:marRight w:val="0"/>
      <w:marTop w:val="0"/>
      <w:marBottom w:val="0"/>
      <w:divBdr>
        <w:top w:val="none" w:sz="0" w:space="0" w:color="auto"/>
        <w:left w:val="none" w:sz="0" w:space="0" w:color="auto"/>
        <w:bottom w:val="none" w:sz="0" w:space="0" w:color="auto"/>
        <w:right w:val="none" w:sz="0" w:space="0" w:color="auto"/>
      </w:divBdr>
    </w:div>
    <w:div w:id="19455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78E1-BB11-45E5-8113-EEFF9BF1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3448</Words>
  <Characters>405</Characters>
  <Application>Microsoft Office Word</Application>
  <DocSecurity>0</DocSecurity>
  <Lines>3</Lines>
  <Paragraphs>7</Paragraphs>
  <ScaleCrop>false</ScaleCrop>
  <Company>台灣證券交易所</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三、借款作業：CR-13000</dc:title>
  <dc:creator>95</dc:creator>
  <cp:lastModifiedBy>林雅儒</cp:lastModifiedBy>
  <cp:revision>35</cp:revision>
  <cp:lastPrinted>2015-01-23T07:43:00Z</cp:lastPrinted>
  <dcterms:created xsi:type="dcterms:W3CDTF">2015-01-23T01:28:00Z</dcterms:created>
  <dcterms:modified xsi:type="dcterms:W3CDTF">2016-05-17T06:22:00Z</dcterms:modified>
</cp:coreProperties>
</file>