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A5" w:rsidRPr="00687B30" w:rsidRDefault="00031CA5">
      <w:pPr>
        <w:spacing w:line="500" w:lineRule="exact"/>
        <w:jc w:val="center"/>
        <w:rPr>
          <w:rFonts w:ascii="新細明體"/>
          <w:spacing w:val="24"/>
        </w:rPr>
      </w:pPr>
      <w:r w:rsidRPr="00687B30">
        <w:rPr>
          <w:rFonts w:ascii="新細明體" w:hint="eastAsia"/>
          <w:spacing w:val="24"/>
        </w:rPr>
        <w:t xml:space="preserve">　　　　　　證券股份有限公司</w:t>
      </w:r>
    </w:p>
    <w:p w:rsidR="00031CA5" w:rsidRPr="00687B30" w:rsidRDefault="00335C3B">
      <w:pPr>
        <w:spacing w:line="400" w:lineRule="exact"/>
        <w:jc w:val="center"/>
        <w:rPr>
          <w:rFonts w:ascii="新細明體"/>
          <w:spacing w:val="24"/>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25400</wp:posOffset>
                </wp:positionV>
                <wp:extent cx="2172335" cy="343535"/>
                <wp:effectExtent l="19050" t="19050" r="37465" b="374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CA5" w:rsidRDefault="003829FF">
                            <w:r>
                              <w:rPr>
                                <w:rFonts w:hint="eastAsia"/>
                              </w:rPr>
                              <w:t>作業週期：每月</w:t>
                            </w:r>
                            <w:r w:rsidR="00031CA5">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" o:allowincell="f" filled="f" strokecolor="white" strokeweight="4pt">
                <v:textbox inset="1pt,1pt,1pt,1pt">
                  <w:txbxContent>
                    <w:p w:rsidR="00031CA5" w:rsidRDefault="003829FF">
                      <w:r>
                        <w:rPr>
                          <w:rFonts w:hint="eastAsia"/>
                        </w:rPr>
                        <w:t>作業週期：每月</w:t>
                      </w:r>
                      <w:r w:rsidR="00031CA5">
                        <w:rPr>
                          <w:rFonts w:hint="eastAsia"/>
                        </w:rPr>
                        <w:t>至少查核乙次</w:t>
                      </w:r>
                    </w:p>
                  </w:txbxContent>
                </v:textbox>
              </v:rect>
            </w:pict>
          </mc:Fallback>
        </mc:AlternateContent>
      </w:r>
      <w:r w:rsidR="00031CA5" w:rsidRPr="00ED2D66">
        <w:rPr>
          <w:rFonts w:ascii="新細明體" w:hint="eastAsia"/>
        </w:rPr>
        <w:t>業務及收入循環：</w:t>
      </w:r>
      <w:r w:rsidR="00AE2FC7">
        <w:rPr>
          <w:rFonts w:ascii="新細明體" w:hint="eastAsia"/>
        </w:rPr>
        <w:t>櫃檯(其</w:t>
      </w:r>
      <w:r w:rsidR="00AE2FC7">
        <w:rPr>
          <w:rFonts w:ascii="新細明體"/>
        </w:rPr>
        <w:t>他</w:t>
      </w:r>
      <w:r w:rsidR="00AE2FC7">
        <w:rPr>
          <w:rFonts w:ascii="新細明體" w:hint="eastAsia"/>
        </w:rPr>
        <w:t>)</w:t>
      </w:r>
    </w:p>
    <w:p w:rsidR="00031CA5" w:rsidRPr="00687B30" w:rsidRDefault="003829FF">
      <w:pPr>
        <w:spacing w:line="300" w:lineRule="auto"/>
        <w:jc w:val="center"/>
        <w:rPr>
          <w:rFonts w:ascii="標楷體" w:eastAsia="標楷體"/>
          <w:spacing w:val="30"/>
        </w:rPr>
      </w:pPr>
      <w:r>
        <w:rPr>
          <w:rFonts w:ascii="新細明體" w:hint="eastAsia"/>
        </w:rPr>
        <w:t>經</w:t>
      </w:r>
      <w:r>
        <w:rPr>
          <w:rFonts w:ascii="新細明體"/>
        </w:rPr>
        <w:t xml:space="preserve"> </w:t>
      </w:r>
      <w:r>
        <w:rPr>
          <w:rFonts w:ascii="新細明體" w:hint="eastAsia"/>
        </w:rPr>
        <w:t>營</w:t>
      </w:r>
      <w:r>
        <w:rPr>
          <w:rFonts w:ascii="新細明體"/>
        </w:rPr>
        <w:t xml:space="preserve"> </w:t>
      </w:r>
      <w:r>
        <w:rPr>
          <w:rFonts w:ascii="新細明體" w:hint="eastAsia"/>
        </w:rPr>
        <w:t>股</w:t>
      </w:r>
      <w:r>
        <w:rPr>
          <w:rFonts w:ascii="新細明體"/>
        </w:rPr>
        <w:t xml:space="preserve"> </w:t>
      </w:r>
      <w:r>
        <w:rPr>
          <w:rFonts w:ascii="新細明體" w:hint="eastAsia"/>
        </w:rPr>
        <w:t>權</w:t>
      </w:r>
      <w:r>
        <w:rPr>
          <w:rFonts w:ascii="新細明體"/>
        </w:rPr>
        <w:t xml:space="preserve"> </w:t>
      </w:r>
      <w:r>
        <w:rPr>
          <w:rFonts w:ascii="新細明體" w:hint="eastAsia"/>
        </w:rPr>
        <w:t>性</w:t>
      </w:r>
      <w:r>
        <w:rPr>
          <w:rFonts w:ascii="新細明體"/>
        </w:rPr>
        <w:t xml:space="preserve"> </w:t>
      </w:r>
      <w:r>
        <w:rPr>
          <w:rFonts w:ascii="新細明體" w:hint="eastAsia"/>
        </w:rPr>
        <w:t>質</w:t>
      </w:r>
      <w:r>
        <w:rPr>
          <w:rFonts w:ascii="新細明體"/>
        </w:rPr>
        <w:t xml:space="preserve"> </w:t>
      </w:r>
      <w:r>
        <w:rPr>
          <w:rFonts w:ascii="新細明體" w:hint="eastAsia"/>
        </w:rPr>
        <w:t>群</w:t>
      </w:r>
      <w:r>
        <w:rPr>
          <w:rFonts w:ascii="新細明體"/>
        </w:rPr>
        <w:t xml:space="preserve"> </w:t>
      </w:r>
      <w:r>
        <w:rPr>
          <w:rFonts w:ascii="新細明體" w:hint="eastAsia"/>
        </w:rPr>
        <w:t>眾</w:t>
      </w:r>
      <w:r>
        <w:rPr>
          <w:rFonts w:ascii="新細明體"/>
        </w:rPr>
        <w:t xml:space="preserve"> </w:t>
      </w:r>
      <w:r>
        <w:rPr>
          <w:rFonts w:ascii="新細明體" w:hint="eastAsia"/>
        </w:rPr>
        <w:t>募</w:t>
      </w:r>
      <w:r>
        <w:rPr>
          <w:rFonts w:ascii="新細明體"/>
        </w:rPr>
        <w:t xml:space="preserve"> </w:t>
      </w:r>
      <w:r>
        <w:rPr>
          <w:rFonts w:ascii="新細明體" w:hint="eastAsia"/>
        </w:rPr>
        <w:t>資</w:t>
      </w:r>
      <w:r w:rsidR="00511208" w:rsidRPr="00687B30">
        <w:rPr>
          <w:rFonts w:ascii="新細明體"/>
        </w:rPr>
        <w:t xml:space="preserve"> </w:t>
      </w:r>
      <w:r>
        <w:rPr>
          <w:rFonts w:ascii="新細明體" w:hint="eastAsia"/>
        </w:rPr>
        <w:t>業</w:t>
      </w:r>
      <w:r>
        <w:rPr>
          <w:rFonts w:ascii="新細明體"/>
        </w:rPr>
        <w:t xml:space="preserve"> </w:t>
      </w:r>
      <w:r>
        <w:rPr>
          <w:rFonts w:ascii="新細明體" w:hint="eastAsia"/>
        </w:rPr>
        <w:t>務</w:t>
      </w:r>
      <w:r w:rsidR="00031CA5" w:rsidRPr="00687B30">
        <w:rPr>
          <w:rFonts w:ascii="新細明體"/>
        </w:rPr>
        <w:t xml:space="preserve"> </w:t>
      </w:r>
      <w:r w:rsidR="00031CA5" w:rsidRPr="00687B30">
        <w:rPr>
          <w:rFonts w:ascii="新細明體" w:hint="eastAsia"/>
        </w:rPr>
        <w:t>查</w:t>
      </w:r>
      <w:r w:rsidR="00031CA5" w:rsidRPr="00687B30">
        <w:rPr>
          <w:rFonts w:ascii="新細明體"/>
        </w:rPr>
        <w:t xml:space="preserve"> </w:t>
      </w:r>
      <w:r w:rsidR="00031CA5" w:rsidRPr="00687B30">
        <w:rPr>
          <w:rFonts w:ascii="新細明體" w:hint="eastAsia"/>
        </w:rPr>
        <w:t>核</w:t>
      </w:r>
      <w:r w:rsidR="00031CA5" w:rsidRPr="00687B30">
        <w:rPr>
          <w:rFonts w:ascii="新細明體"/>
        </w:rPr>
        <w:t xml:space="preserve"> </w:t>
      </w:r>
      <w:r w:rsidR="00031CA5" w:rsidRPr="00687B30">
        <w:rPr>
          <w:rFonts w:ascii="新細明體" w:hint="eastAsia"/>
        </w:rPr>
        <w:t>明</w:t>
      </w:r>
      <w:r w:rsidR="00031CA5" w:rsidRPr="00687B30">
        <w:rPr>
          <w:rFonts w:ascii="新細明體"/>
        </w:rPr>
        <w:t xml:space="preserve"> </w:t>
      </w:r>
      <w:r w:rsidR="00031CA5" w:rsidRPr="00687B30">
        <w:rPr>
          <w:rFonts w:ascii="新細明體" w:hint="eastAsia"/>
        </w:rPr>
        <w:t>細</w:t>
      </w:r>
      <w:r w:rsidR="00031CA5" w:rsidRPr="00687B30">
        <w:rPr>
          <w:rFonts w:ascii="新細明體"/>
        </w:rPr>
        <w:t xml:space="preserve"> </w:t>
      </w:r>
      <w:r w:rsidR="00031CA5" w:rsidRPr="00687B30">
        <w:rPr>
          <w:rFonts w:ascii="新細明體" w:hint="eastAsia"/>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031CA5" w:rsidRPr="00687B30">
        <w:trPr>
          <w:cantSplit/>
          <w:trHeight w:hRule="exact" w:val="400"/>
        </w:trPr>
        <w:tc>
          <w:tcPr>
            <w:tcW w:w="1985" w:type="dxa"/>
            <w:vMerge w:val="restart"/>
            <w:tcBorders>
              <w:top w:val="single" w:sz="12" w:space="0" w:color="auto"/>
              <w:left w:val="single" w:sz="12" w:space="0" w:color="auto"/>
            </w:tcBorders>
            <w:vAlign w:val="center"/>
          </w:tcPr>
          <w:p w:rsidR="00031CA5" w:rsidRPr="00687B30" w:rsidRDefault="00031CA5">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7938" w:type="dxa"/>
            <w:vMerge w:val="restart"/>
            <w:tcBorders>
              <w:top w:val="single" w:sz="12" w:space="0" w:color="auto"/>
            </w:tcBorders>
            <w:vAlign w:val="center"/>
          </w:tcPr>
          <w:p w:rsidR="00031CA5" w:rsidRPr="0057288E" w:rsidRDefault="00031CA5">
            <w:pPr>
              <w:jc w:val="center"/>
              <w:rPr>
                <w:rFonts w:asciiTheme="minorEastAsia" w:eastAsiaTheme="minorEastAsia" w:hAnsiTheme="minorEastAsia"/>
              </w:rPr>
            </w:pPr>
            <w:r w:rsidRPr="0057288E">
              <w:rPr>
                <w:rFonts w:asciiTheme="minorEastAsia" w:eastAsiaTheme="minorEastAsia" w:hAnsiTheme="minorEastAsia" w:hint="eastAsia"/>
              </w:rPr>
              <w:t>查</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核</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程</w:t>
            </w:r>
            <w:r w:rsidRPr="0057288E">
              <w:rPr>
                <w:rFonts w:asciiTheme="minorEastAsia" w:eastAsiaTheme="minorEastAsia" w:hAnsiTheme="minorEastAsia"/>
              </w:rPr>
              <w:t xml:space="preserve">          </w:t>
            </w:r>
            <w:r w:rsidRPr="0057288E">
              <w:rPr>
                <w:rFonts w:asciiTheme="minorEastAsia" w:eastAsiaTheme="minorEastAsia" w:hAnsiTheme="minorEastAsia" w:hint="eastAsia"/>
              </w:rPr>
              <w:t>序</w:t>
            </w:r>
          </w:p>
        </w:tc>
        <w:tc>
          <w:tcPr>
            <w:tcW w:w="2268" w:type="dxa"/>
            <w:gridSpan w:val="3"/>
            <w:tcBorders>
              <w:top w:val="single" w:sz="12" w:space="0" w:color="auto"/>
            </w:tcBorders>
            <w:vAlign w:val="center"/>
          </w:tcPr>
          <w:p w:rsidR="00031CA5" w:rsidRPr="00687B30" w:rsidRDefault="00031CA5">
            <w:pPr>
              <w:jc w:val="center"/>
              <w:rPr>
                <w:rFonts w:ascii="新細明體"/>
                <w:spacing w:val="60"/>
              </w:rPr>
            </w:pPr>
            <w:r w:rsidRPr="00687B30">
              <w:rPr>
                <w:rFonts w:ascii="新細明體" w:hint="eastAsia"/>
                <w:spacing w:val="60"/>
                <w:sz w:val="22"/>
              </w:rPr>
              <w:t>查核結果</w:t>
            </w:r>
          </w:p>
        </w:tc>
        <w:tc>
          <w:tcPr>
            <w:tcW w:w="1985" w:type="dxa"/>
            <w:vMerge w:val="restart"/>
            <w:tcBorders>
              <w:top w:val="single" w:sz="12" w:space="0" w:color="auto"/>
              <w:right w:val="single" w:sz="12" w:space="0" w:color="auto"/>
            </w:tcBorders>
            <w:vAlign w:val="center"/>
          </w:tcPr>
          <w:p w:rsidR="00031CA5" w:rsidRPr="00687B30" w:rsidRDefault="00031CA5">
            <w:pPr>
              <w:jc w:val="center"/>
              <w:rPr>
                <w:rFonts w:ascii="新細明體"/>
              </w:rPr>
            </w:pPr>
            <w:r w:rsidRPr="00687B30">
              <w:rPr>
                <w:rFonts w:ascii="新細明體" w:hint="eastAsia"/>
                <w:spacing w:val="60"/>
              </w:rPr>
              <w:t>底稿索引</w:t>
            </w:r>
          </w:p>
        </w:tc>
      </w:tr>
      <w:tr w:rsidR="00031CA5" w:rsidRPr="00687B30">
        <w:trPr>
          <w:cantSplit/>
          <w:trHeight w:hRule="exact" w:val="400"/>
        </w:trPr>
        <w:tc>
          <w:tcPr>
            <w:tcW w:w="1985" w:type="dxa"/>
            <w:vMerge/>
            <w:tcBorders>
              <w:left w:val="single" w:sz="12" w:space="0" w:color="auto"/>
            </w:tcBorders>
          </w:tcPr>
          <w:p w:rsidR="00031CA5" w:rsidRPr="00687B30" w:rsidRDefault="00031CA5">
            <w:pPr>
              <w:rPr>
                <w:rFonts w:ascii="新細明體"/>
              </w:rPr>
            </w:pPr>
          </w:p>
        </w:tc>
        <w:tc>
          <w:tcPr>
            <w:tcW w:w="7938" w:type="dxa"/>
            <w:vMerge/>
          </w:tcPr>
          <w:p w:rsidR="00031CA5" w:rsidRPr="00687B30" w:rsidRDefault="00031CA5">
            <w:pPr>
              <w:rPr>
                <w:rFonts w:ascii="標楷體" w:eastAsia="標楷體"/>
              </w:rPr>
            </w:pPr>
          </w:p>
        </w:tc>
        <w:tc>
          <w:tcPr>
            <w:tcW w:w="567" w:type="dxa"/>
          </w:tcPr>
          <w:p w:rsidR="00031CA5" w:rsidRPr="00687B30" w:rsidRDefault="00031CA5">
            <w:pPr>
              <w:jc w:val="center"/>
              <w:rPr>
                <w:rFonts w:ascii="新細明體"/>
                <w:sz w:val="22"/>
              </w:rPr>
            </w:pPr>
            <w:r w:rsidRPr="00687B30">
              <w:rPr>
                <w:rFonts w:ascii="新細明體" w:hint="eastAsia"/>
                <w:sz w:val="22"/>
              </w:rPr>
              <w:t>是</w:t>
            </w:r>
          </w:p>
        </w:tc>
        <w:tc>
          <w:tcPr>
            <w:tcW w:w="567" w:type="dxa"/>
          </w:tcPr>
          <w:p w:rsidR="00031CA5" w:rsidRPr="00687B30" w:rsidRDefault="00031CA5">
            <w:pPr>
              <w:jc w:val="center"/>
              <w:rPr>
                <w:rFonts w:ascii="新細明體"/>
                <w:sz w:val="22"/>
              </w:rPr>
            </w:pPr>
            <w:r w:rsidRPr="00687B30">
              <w:rPr>
                <w:rFonts w:ascii="新細明體" w:hint="eastAsia"/>
                <w:sz w:val="22"/>
              </w:rPr>
              <w:t>否</w:t>
            </w:r>
          </w:p>
        </w:tc>
        <w:tc>
          <w:tcPr>
            <w:tcW w:w="1134" w:type="dxa"/>
          </w:tcPr>
          <w:p w:rsidR="00031CA5" w:rsidRPr="00687B30" w:rsidRDefault="00031CA5">
            <w:pPr>
              <w:jc w:val="center"/>
              <w:rPr>
                <w:rFonts w:ascii="新細明體"/>
                <w:sz w:val="22"/>
              </w:rPr>
            </w:pPr>
            <w:r w:rsidRPr="00687B30">
              <w:rPr>
                <w:rFonts w:ascii="新細明體" w:hint="eastAsia"/>
                <w:sz w:val="22"/>
              </w:rPr>
              <w:t>不適用</w:t>
            </w:r>
          </w:p>
        </w:tc>
        <w:tc>
          <w:tcPr>
            <w:tcW w:w="1985" w:type="dxa"/>
            <w:vMerge/>
            <w:tcBorders>
              <w:right w:val="single" w:sz="12" w:space="0" w:color="auto"/>
            </w:tcBorders>
          </w:tcPr>
          <w:p w:rsidR="00031CA5" w:rsidRPr="00687B30" w:rsidRDefault="00031CA5">
            <w:pPr>
              <w:rPr>
                <w:rFonts w:ascii="新細明體"/>
              </w:rPr>
            </w:pPr>
          </w:p>
        </w:tc>
      </w:tr>
      <w:tr w:rsidR="00031CA5" w:rsidRPr="00687B30" w:rsidTr="00FA0BBC">
        <w:trPr>
          <w:trHeight w:hRule="exact" w:val="5865"/>
        </w:trPr>
        <w:tc>
          <w:tcPr>
            <w:tcW w:w="1985" w:type="dxa"/>
            <w:tcBorders>
              <w:left w:val="single" w:sz="12" w:space="0" w:color="auto"/>
            </w:tcBorders>
          </w:tcPr>
          <w:p w:rsidR="00031CA5" w:rsidRPr="00687B30" w:rsidRDefault="003829FF">
            <w:pPr>
              <w:spacing w:line="240" w:lineRule="atLeast"/>
              <w:jc w:val="both"/>
              <w:rPr>
                <w:rFonts w:ascii="新細明體"/>
              </w:rPr>
            </w:pPr>
            <w:r>
              <w:rPr>
                <w:rFonts w:ascii="新細明體" w:hAnsi="新細明體" w:hint="eastAsia"/>
                <w:color w:val="000000"/>
                <w:spacing w:val="10"/>
              </w:rPr>
              <w:t>經營股權性質群眾募資</w:t>
            </w:r>
            <w:r w:rsidR="00323A22">
              <w:rPr>
                <w:rFonts w:ascii="新細明體" w:hAnsi="新細明體" w:hint="eastAsia"/>
                <w:color w:val="000000"/>
                <w:spacing w:val="10"/>
              </w:rPr>
              <w:t>-</w:t>
            </w:r>
            <w:r>
              <w:rPr>
                <w:rFonts w:ascii="新細明體" w:hAnsi="新細明體" w:hint="eastAsia"/>
                <w:color w:val="000000"/>
                <w:spacing w:val="10"/>
              </w:rPr>
              <w:t>業務</w:t>
            </w:r>
            <w:r w:rsidR="00C31201">
              <w:rPr>
                <w:rFonts w:ascii="新細明體" w:hAnsi="新細明體" w:hint="eastAsia"/>
                <w:color w:val="000000"/>
                <w:spacing w:val="10"/>
              </w:rPr>
              <w:t>管理</w:t>
            </w:r>
            <w:bookmarkStart w:id="0" w:name="_GoBack"/>
            <w:bookmarkEnd w:id="0"/>
            <w:r w:rsidR="00323A22">
              <w:rPr>
                <w:rFonts w:ascii="新細明體" w:hAnsi="新細明體" w:hint="eastAsia"/>
                <w:color w:val="000000"/>
                <w:spacing w:val="10"/>
              </w:rPr>
              <w:t>查</w:t>
            </w:r>
            <w:r w:rsidR="00323A22">
              <w:rPr>
                <w:rFonts w:ascii="新細明體" w:hAnsi="新細明體"/>
                <w:color w:val="000000"/>
                <w:spacing w:val="10"/>
              </w:rPr>
              <w:t>核</w:t>
            </w:r>
          </w:p>
        </w:tc>
        <w:tc>
          <w:tcPr>
            <w:tcW w:w="7938" w:type="dxa"/>
          </w:tcPr>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96F20">
              <w:rPr>
                <w:rFonts w:ascii="新細明體" w:hAnsi="新細明體" w:hint="eastAsia"/>
                <w:spacing w:val="24"/>
              </w:rPr>
              <w:t>公司是否僅受理實收資本額新臺幣三千萬元以下之</w:t>
            </w:r>
            <w:r>
              <w:rPr>
                <w:rFonts w:ascii="新細明體" w:hAnsi="新細明體" w:hint="eastAsia"/>
                <w:spacing w:val="24"/>
              </w:rPr>
              <w:t>募資公司於募資平台辦理股權募資。</w:t>
            </w:r>
          </w:p>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Pr>
                <w:rFonts w:ascii="新細明體" w:hAnsi="新細明體" w:hint="eastAsia"/>
                <w:spacing w:val="24"/>
              </w:rPr>
              <w:t>公</w:t>
            </w:r>
            <w:r>
              <w:rPr>
                <w:rFonts w:ascii="新細明體" w:hAnsi="新細明體"/>
                <w:spacing w:val="24"/>
              </w:rPr>
              <w:t>司是否</w:t>
            </w:r>
            <w:r w:rsidRPr="00BD6334">
              <w:rPr>
                <w:rFonts w:ascii="新細明體" w:hAnsi="新細明體" w:hint="eastAsia"/>
                <w:spacing w:val="24"/>
              </w:rPr>
              <w:t>與募資公司</w:t>
            </w:r>
            <w:r>
              <w:rPr>
                <w:rFonts w:ascii="新細明體" w:hAnsi="新細明體" w:hint="eastAsia"/>
                <w:spacing w:val="24"/>
              </w:rPr>
              <w:t>逐案</w:t>
            </w:r>
            <w:r w:rsidR="009B05C3">
              <w:rPr>
                <w:rFonts w:ascii="新細明體" w:hAnsi="新細明體" w:hint="eastAsia"/>
                <w:spacing w:val="24"/>
              </w:rPr>
              <w:t>簽訂符合「證券商經營股權性質群眾募資</w:t>
            </w:r>
            <w:r w:rsidRPr="00BD6334">
              <w:rPr>
                <w:rFonts w:ascii="新細明體" w:hAnsi="新細明體" w:hint="eastAsia"/>
                <w:spacing w:val="24"/>
              </w:rPr>
              <w:t>管理辦法」第1</w:t>
            </w:r>
            <w:r>
              <w:rPr>
                <w:rFonts w:ascii="新細明體" w:hAnsi="新細明體"/>
                <w:spacing w:val="24"/>
              </w:rPr>
              <w:t>9</w:t>
            </w:r>
            <w:r w:rsidRPr="00BD6334">
              <w:rPr>
                <w:rFonts w:ascii="新細明體" w:hAnsi="新細明體" w:hint="eastAsia"/>
                <w:spacing w:val="24"/>
              </w:rPr>
              <w:t>條</w:t>
            </w:r>
            <w:r w:rsidRPr="00BD6334">
              <w:rPr>
                <w:rFonts w:ascii="新細明體" w:hAnsi="新細明體"/>
                <w:spacing w:val="24"/>
              </w:rPr>
              <w:t>第</w:t>
            </w:r>
            <w:r w:rsidRPr="00BD6334">
              <w:rPr>
                <w:rFonts w:ascii="新細明體" w:hAnsi="新細明體" w:hint="eastAsia"/>
                <w:spacing w:val="24"/>
              </w:rPr>
              <w:t>2項規定之契約。</w:t>
            </w:r>
          </w:p>
          <w:p w:rsidR="00233066" w:rsidRPr="00192BFD" w:rsidRDefault="00233066" w:rsidP="00233066">
            <w:pPr>
              <w:numPr>
                <w:ilvl w:val="0"/>
                <w:numId w:val="6"/>
              </w:numPr>
              <w:tabs>
                <w:tab w:val="left" w:pos="567"/>
              </w:tabs>
              <w:spacing w:line="420" w:lineRule="atLeast"/>
              <w:ind w:left="567" w:hanging="567"/>
              <w:jc w:val="both"/>
              <w:rPr>
                <w:rFonts w:ascii="新細明體" w:hAnsi="新細明體"/>
                <w:spacing w:val="24"/>
              </w:rPr>
            </w:pPr>
            <w:r>
              <w:rPr>
                <w:rFonts w:ascii="新細明體" w:hAnsi="新細明體" w:hint="eastAsia"/>
                <w:spacing w:val="24"/>
              </w:rPr>
              <w:t>公司</w:t>
            </w:r>
            <w:r>
              <w:rPr>
                <w:rFonts w:ascii="新細明體" w:hAnsi="新細明體"/>
                <w:spacing w:val="24"/>
              </w:rPr>
              <w:t>是否</w:t>
            </w:r>
            <w:r>
              <w:rPr>
                <w:rFonts w:ascii="新細明體" w:hAnsi="新細明體" w:hint="eastAsia"/>
                <w:spacing w:val="24"/>
              </w:rPr>
              <w:t>於</w:t>
            </w:r>
            <w:r>
              <w:rPr>
                <w:rFonts w:ascii="新細明體" w:hAnsi="新細明體"/>
                <w:spacing w:val="24"/>
              </w:rPr>
              <w:t>募資平台揭示募資公司基本資料及現金增資之相關</w:t>
            </w:r>
            <w:r>
              <w:rPr>
                <w:rFonts w:ascii="新細明體" w:hAnsi="新細明體" w:hint="eastAsia"/>
                <w:spacing w:val="24"/>
              </w:rPr>
              <w:t>資</w:t>
            </w:r>
            <w:r>
              <w:rPr>
                <w:rFonts w:ascii="新細明體" w:hAnsi="新細明體"/>
                <w:spacing w:val="24"/>
              </w:rPr>
              <w:t>訊</w:t>
            </w:r>
            <w:r>
              <w:rPr>
                <w:rFonts w:ascii="新細明體" w:hAnsi="新細明體" w:hint="eastAsia"/>
                <w:spacing w:val="24"/>
              </w:rPr>
              <w:t>前</w:t>
            </w:r>
            <w:r>
              <w:rPr>
                <w:rFonts w:ascii="新細明體" w:hAnsi="新細明體"/>
                <w:spacing w:val="24"/>
              </w:rPr>
              <w:t>，確認募資公司符合</w:t>
            </w:r>
            <w:r>
              <w:rPr>
                <w:rFonts w:ascii="新細明體" w:hAnsi="新細明體" w:hint="eastAsia"/>
                <w:spacing w:val="24"/>
              </w:rPr>
              <w:t>「</w:t>
            </w:r>
            <w:r w:rsidR="009B05C3">
              <w:rPr>
                <w:rFonts w:ascii="新細明體" w:hAnsi="新細明體" w:hint="eastAsia"/>
                <w:spacing w:val="24"/>
              </w:rPr>
              <w:t>證券商經營股權性質群眾募資</w:t>
            </w:r>
            <w:r w:rsidRPr="00BD6334">
              <w:rPr>
                <w:rFonts w:ascii="新細明體" w:hAnsi="新細明體" w:hint="eastAsia"/>
                <w:spacing w:val="24"/>
              </w:rPr>
              <w:t>管理辦法」第</w:t>
            </w:r>
            <w:r>
              <w:rPr>
                <w:rFonts w:ascii="新細明體" w:hAnsi="新細明體"/>
                <w:spacing w:val="24"/>
              </w:rPr>
              <w:t>20</w:t>
            </w:r>
            <w:r w:rsidRPr="00BD6334">
              <w:rPr>
                <w:rFonts w:ascii="新細明體" w:hAnsi="新細明體" w:hint="eastAsia"/>
                <w:spacing w:val="24"/>
              </w:rPr>
              <w:t>條</w:t>
            </w:r>
            <w:r>
              <w:rPr>
                <w:rFonts w:ascii="新細明體" w:hAnsi="新細明體"/>
                <w:spacing w:val="24"/>
              </w:rPr>
              <w:t>各款條件</w:t>
            </w:r>
            <w:r>
              <w:rPr>
                <w:rFonts w:ascii="新細明體" w:hAnsi="新細明體" w:hint="eastAsia"/>
                <w:spacing w:val="24"/>
              </w:rPr>
              <w:t>。</w:t>
            </w:r>
          </w:p>
          <w:p w:rsidR="00233066"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96F20">
              <w:rPr>
                <w:rFonts w:ascii="新細明體" w:hAnsi="新細明體" w:hint="eastAsia"/>
                <w:spacing w:val="24"/>
              </w:rPr>
              <w:t>公司是否於</w:t>
            </w:r>
            <w:r>
              <w:rPr>
                <w:rFonts w:ascii="新細明體" w:hAnsi="新細明體" w:hint="eastAsia"/>
                <w:spacing w:val="24"/>
              </w:rPr>
              <w:t>募資公司</w:t>
            </w:r>
            <w:r w:rsidRPr="00296F20">
              <w:rPr>
                <w:rFonts w:ascii="新細明體" w:hAnsi="新細明體" w:hint="eastAsia"/>
                <w:spacing w:val="24"/>
              </w:rPr>
              <w:t>辦理現金增資時，依</w:t>
            </w:r>
            <w:r>
              <w:rPr>
                <w:rFonts w:ascii="新細明體" w:hAnsi="新細明體" w:hint="eastAsia"/>
                <w:spacing w:val="24"/>
              </w:rPr>
              <w:t>募資公司</w:t>
            </w:r>
            <w:r w:rsidRPr="00296F20">
              <w:rPr>
                <w:rFonts w:ascii="新細明體" w:hAnsi="新細明體" w:hint="eastAsia"/>
                <w:spacing w:val="24"/>
              </w:rPr>
              <w:t>於確認員工及股東放棄認購股數之日起五個營業日內申報之募資計畫書</w:t>
            </w:r>
            <w:r>
              <w:rPr>
                <w:rFonts w:ascii="新細明體" w:hAnsi="新細明體" w:hint="eastAsia"/>
                <w:spacing w:val="24"/>
              </w:rPr>
              <w:t>，履行盡職調查程序。</w:t>
            </w:r>
          </w:p>
          <w:p w:rsidR="003829FF" w:rsidRPr="00233066" w:rsidRDefault="00233066" w:rsidP="00233066">
            <w:pPr>
              <w:numPr>
                <w:ilvl w:val="0"/>
                <w:numId w:val="6"/>
              </w:numPr>
              <w:tabs>
                <w:tab w:val="left" w:pos="567"/>
              </w:tabs>
              <w:spacing w:line="420" w:lineRule="atLeast"/>
              <w:ind w:left="567" w:hanging="567"/>
              <w:jc w:val="both"/>
              <w:rPr>
                <w:rFonts w:ascii="新細明體" w:hAnsi="新細明體"/>
                <w:spacing w:val="24"/>
              </w:rPr>
            </w:pPr>
            <w:r w:rsidRPr="00233066">
              <w:rPr>
                <w:rFonts w:ascii="新細明體" w:hAnsi="新細明體" w:hint="eastAsia"/>
                <w:spacing w:val="24"/>
              </w:rPr>
              <w:t>公司履</w:t>
            </w:r>
            <w:r w:rsidRPr="00233066">
              <w:rPr>
                <w:rFonts w:ascii="新細明體" w:hAnsi="新細明體"/>
                <w:spacing w:val="24"/>
              </w:rPr>
              <w:t>行盡職調查程序</w:t>
            </w:r>
            <w:r w:rsidRPr="00233066">
              <w:rPr>
                <w:rFonts w:ascii="新細明體" w:hAnsi="新細明體" w:hint="eastAsia"/>
                <w:spacing w:val="24"/>
              </w:rPr>
              <w:t>且確認無重大異常後，</w:t>
            </w:r>
            <w:r w:rsidRPr="00233066">
              <w:rPr>
                <w:rFonts w:ascii="新細明體" w:hAnsi="新細明體"/>
                <w:spacing w:val="24"/>
              </w:rPr>
              <w:t>是否</w:t>
            </w:r>
            <w:r w:rsidRPr="00233066">
              <w:rPr>
                <w:rFonts w:ascii="新細明體" w:hAnsi="新細明體" w:hint="eastAsia"/>
                <w:spacing w:val="24"/>
              </w:rPr>
              <w:t>揭示募</w:t>
            </w:r>
            <w:r w:rsidRPr="00233066">
              <w:rPr>
                <w:rFonts w:ascii="新細明體" w:hAnsi="新細明體"/>
                <w:spacing w:val="24"/>
              </w:rPr>
              <w:t>資公司之募資計畫書</w:t>
            </w:r>
            <w:r w:rsidRPr="00233066">
              <w:rPr>
                <w:rFonts w:ascii="新細明體" w:hAnsi="新細明體" w:hint="eastAsia"/>
                <w:spacing w:val="24"/>
              </w:rPr>
              <w:t>於公司之募資平台至少五個營業日，始接受投資人進行認購。</w:t>
            </w:r>
          </w:p>
        </w:tc>
        <w:tc>
          <w:tcPr>
            <w:tcW w:w="567" w:type="dxa"/>
          </w:tcPr>
          <w:p w:rsidR="00031CA5" w:rsidRPr="00687B30" w:rsidRDefault="00031CA5">
            <w:pPr>
              <w:rPr>
                <w:rFonts w:ascii="標楷體" w:eastAsia="標楷體"/>
              </w:rPr>
            </w:pPr>
          </w:p>
          <w:p w:rsidR="00031CA5" w:rsidRPr="00687B30" w:rsidRDefault="00031CA5">
            <w:pPr>
              <w:jc w:val="center"/>
              <w:rPr>
                <w:rFonts w:ascii="標楷體" w:eastAsia="標楷體"/>
              </w:rPr>
            </w:pPr>
          </w:p>
          <w:p w:rsidR="00031CA5" w:rsidRPr="00687B30" w:rsidRDefault="00031CA5">
            <w:pPr>
              <w:rPr>
                <w:rFonts w:ascii="標楷體" w:eastAsia="標楷體"/>
              </w:rPr>
            </w:pPr>
          </w:p>
        </w:tc>
        <w:tc>
          <w:tcPr>
            <w:tcW w:w="567"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134"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985" w:type="dxa"/>
            <w:tcBorders>
              <w:right w:val="single" w:sz="12" w:space="0" w:color="auto"/>
            </w:tcBorders>
          </w:tcPr>
          <w:p w:rsidR="00031CA5" w:rsidRPr="00687B30" w:rsidRDefault="00031CA5">
            <w:pPr>
              <w:rPr>
                <w:rFonts w:ascii="新細明體"/>
              </w:rPr>
            </w:pPr>
          </w:p>
        </w:tc>
      </w:tr>
      <w:tr w:rsidR="00031CA5" w:rsidRPr="00687B30" w:rsidTr="003E2F46">
        <w:trPr>
          <w:cantSplit/>
          <w:trHeight w:hRule="exact" w:val="1005"/>
        </w:trPr>
        <w:tc>
          <w:tcPr>
            <w:tcW w:w="14176" w:type="dxa"/>
            <w:gridSpan w:val="6"/>
            <w:tcBorders>
              <w:left w:val="single" w:sz="12" w:space="0" w:color="auto"/>
              <w:bottom w:val="single" w:sz="12" w:space="0" w:color="auto"/>
              <w:right w:val="single" w:sz="12" w:space="0" w:color="auto"/>
            </w:tcBorders>
          </w:tcPr>
          <w:p w:rsidR="00031CA5" w:rsidRPr="00687B30" w:rsidRDefault="00031CA5">
            <w:pPr>
              <w:ind w:firstLine="180"/>
            </w:pPr>
            <w:r w:rsidRPr="00687B30">
              <w:rPr>
                <w:rFonts w:hint="eastAsia"/>
                <w:spacing w:val="24"/>
              </w:rPr>
              <w:t>備</w:t>
            </w:r>
            <w:r w:rsidRPr="00687B30">
              <w:rPr>
                <w:spacing w:val="24"/>
              </w:rPr>
              <w:t xml:space="preserve">  </w:t>
            </w:r>
            <w:r w:rsidRPr="00687B30">
              <w:rPr>
                <w:rFonts w:hint="eastAsia"/>
                <w:spacing w:val="24"/>
              </w:rPr>
              <w:t>註：</w:t>
            </w:r>
            <w:r w:rsidR="00F76D93">
              <w:rPr>
                <w:spacing w:val="24"/>
              </w:rPr>
              <w:t xml:space="preserve"> </w:t>
            </w:r>
          </w:p>
        </w:tc>
      </w:tr>
    </w:tbl>
    <w:p w:rsidR="00031CA5" w:rsidRPr="00687B30" w:rsidRDefault="00031CA5">
      <w:pPr>
        <w:spacing w:line="500" w:lineRule="atLeast"/>
        <w:ind w:firstLine="9361"/>
        <w:jc w:val="both"/>
        <w:rPr>
          <w:rFonts w:eastAsia="標楷體"/>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sectPr w:rsidR="00031CA5" w:rsidRPr="00687B30" w:rsidSect="00791024">
      <w:pgSz w:w="16840" w:h="11907" w:orient="landscape" w:code="9"/>
      <w:pgMar w:top="719" w:right="1418" w:bottom="284" w:left="1418" w:header="851" w:footer="992" w:gutter="0"/>
      <w:pgNumType w:start="36"/>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19" w:rsidRDefault="007C1C19">
      <w:pPr>
        <w:spacing w:line="240" w:lineRule="auto"/>
      </w:pPr>
      <w:r>
        <w:separator/>
      </w:r>
    </w:p>
  </w:endnote>
  <w:endnote w:type="continuationSeparator" w:id="0">
    <w:p w:rsidR="007C1C19" w:rsidRDefault="007C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19" w:rsidRDefault="007C1C19">
      <w:pPr>
        <w:spacing w:line="240" w:lineRule="auto"/>
      </w:pPr>
      <w:r>
        <w:separator/>
      </w:r>
    </w:p>
  </w:footnote>
  <w:footnote w:type="continuationSeparator" w:id="0">
    <w:p w:rsidR="007C1C19" w:rsidRDefault="007C1C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1A47"/>
    <w:multiLevelType w:val="multilevel"/>
    <w:tmpl w:val="234473BC"/>
    <w:lvl w:ilvl="0">
      <w:start w:val="1"/>
      <w:numFmt w:val="taiwaneseCountingThousand"/>
      <w:suff w:val="space"/>
      <w:lvlText w:val="%1、"/>
      <w:lvlJc w:val="left"/>
      <w:pPr>
        <w:ind w:left="539" w:hanging="539"/>
      </w:pPr>
      <w:rPr>
        <w:rFonts w:cs="Times New Roman" w:hint="eastAsia"/>
      </w:rPr>
    </w:lvl>
    <w:lvl w:ilvl="1">
      <w:start w:val="1"/>
      <w:numFmt w:val="taiwaneseCountingThousand"/>
      <w:suff w:val="space"/>
      <w:lvlText w:val="(%2)"/>
      <w:lvlJc w:val="left"/>
      <w:pPr>
        <w:ind w:left="1021" w:hanging="454"/>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E836355"/>
    <w:multiLevelType w:val="singleLevel"/>
    <w:tmpl w:val="E9561942"/>
    <w:lvl w:ilvl="0">
      <w:start w:val="1"/>
      <w:numFmt w:val="taiwaneseCountingThousand"/>
      <w:lvlText w:val="(%1)"/>
      <w:lvlJc w:val="left"/>
      <w:pPr>
        <w:tabs>
          <w:tab w:val="num" w:pos="495"/>
        </w:tabs>
        <w:ind w:left="495" w:hanging="495"/>
      </w:pPr>
      <w:rPr>
        <w:rFonts w:cs="Times New Roman" w:hint="eastAsia"/>
      </w:rPr>
    </w:lvl>
  </w:abstractNum>
  <w:abstractNum w:abstractNumId="3">
    <w:nsid w:val="487C019D"/>
    <w:multiLevelType w:val="hybridMultilevel"/>
    <w:tmpl w:val="0EA895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61BA5F0B"/>
    <w:multiLevelType w:val="hybridMultilevel"/>
    <w:tmpl w:val="00645B9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72F73A84"/>
    <w:multiLevelType w:val="multilevel"/>
    <w:tmpl w:val="14F6A60E"/>
    <w:lvl w:ilvl="0">
      <w:start w:val="1"/>
      <w:numFmt w:val="aiueo"/>
      <w:lvlText w:val="%1、"/>
      <w:legacy w:legacy="1" w:legacySpace="0" w:legacyIndent="567"/>
      <w:lvlJc w:val="left"/>
      <w:pPr>
        <w:ind w:left="567" w:hanging="567"/>
      </w:pPr>
      <w:rPr>
        <w:rFonts w:cs="Times New Roman"/>
      </w:rPr>
    </w:lvl>
    <w:lvl w:ilvl="1">
      <w:start w:val="1"/>
      <w:numFmt w:val="aiueo"/>
      <w:lvlText w:val="(%2)"/>
      <w:legacy w:legacy="1" w:legacySpace="0" w:legacyIndent="510"/>
      <w:lvlJc w:val="left"/>
      <w:pPr>
        <w:ind w:left="1077" w:hanging="510"/>
      </w:pPr>
      <w:rPr>
        <w:rFonts w:cs="Times New Roman"/>
      </w:rPr>
    </w:lvl>
    <w:lvl w:ilvl="2">
      <w:start w:val="1"/>
      <w:numFmt w:val="decimal"/>
      <w:lvlText w:val="%3."/>
      <w:legacy w:legacy="1" w:legacySpace="0" w:legacyIndent="425"/>
      <w:lvlJc w:val="left"/>
      <w:pPr>
        <w:ind w:left="1502" w:hanging="425"/>
      </w:pPr>
      <w:rPr>
        <w:rFonts w:cs="Times New Roman"/>
      </w:rPr>
    </w:lvl>
    <w:lvl w:ilvl="3">
      <w:start w:val="1"/>
      <w:numFmt w:val="decimal"/>
      <w:lvlText w:val="%4)"/>
      <w:legacy w:legacy="1" w:legacySpace="0" w:legacyIndent="425"/>
      <w:lvlJc w:val="left"/>
      <w:pPr>
        <w:ind w:left="1927" w:hanging="425"/>
      </w:pPr>
      <w:rPr>
        <w:rFonts w:cs="Times New Roman"/>
      </w:rPr>
    </w:lvl>
    <w:lvl w:ilvl="4">
      <w:start w:val="1"/>
      <w:numFmt w:val="decimal"/>
      <w:lvlText w:val="(%5)"/>
      <w:legacy w:legacy="1" w:legacySpace="0" w:legacyIndent="425"/>
      <w:lvlJc w:val="left"/>
      <w:pPr>
        <w:ind w:left="2352" w:hanging="425"/>
      </w:pPr>
      <w:rPr>
        <w:rFonts w:cs="Times New Roman"/>
      </w:rPr>
    </w:lvl>
    <w:lvl w:ilvl="5">
      <w:start w:val="1"/>
      <w:numFmt w:val="lowerLetter"/>
      <w:lvlText w:val="%6."/>
      <w:legacy w:legacy="1" w:legacySpace="0" w:legacyIndent="425"/>
      <w:lvlJc w:val="left"/>
      <w:pPr>
        <w:ind w:left="2777" w:hanging="425"/>
      </w:pPr>
      <w:rPr>
        <w:rFonts w:cs="Times New Roman"/>
      </w:rPr>
    </w:lvl>
    <w:lvl w:ilvl="6">
      <w:start w:val="1"/>
      <w:numFmt w:val="lowerLetter"/>
      <w:lvlText w:val="%7)"/>
      <w:legacy w:legacy="1" w:legacySpace="0" w:legacyIndent="425"/>
      <w:lvlJc w:val="left"/>
      <w:pPr>
        <w:ind w:left="3202" w:hanging="425"/>
      </w:pPr>
      <w:rPr>
        <w:rFonts w:cs="Times New Roman"/>
      </w:rPr>
    </w:lvl>
    <w:lvl w:ilvl="7">
      <w:start w:val="1"/>
      <w:numFmt w:val="lowerRoman"/>
      <w:lvlText w:val="(%8)"/>
      <w:legacy w:legacy="1" w:legacySpace="0" w:legacyIndent="425"/>
      <w:lvlJc w:val="left"/>
      <w:pPr>
        <w:ind w:left="3627" w:hanging="425"/>
      </w:pPr>
      <w:rPr>
        <w:rFonts w:cs="Times New Roman"/>
      </w:rPr>
    </w:lvl>
    <w:lvl w:ilvl="8">
      <w:start w:val="1"/>
      <w:numFmt w:val="lowerRoman"/>
      <w:lvlText w:val="%9"/>
      <w:legacy w:legacy="1" w:legacySpace="0" w:legacyIndent="425"/>
      <w:lvlJc w:val="left"/>
      <w:pPr>
        <w:ind w:left="4052" w:hanging="425"/>
      </w:pPr>
      <w:rPr>
        <w:rFonts w:cs="Times New Roman"/>
      </w:rPr>
    </w:lvl>
  </w:abstractNum>
  <w:abstractNum w:abstractNumId="6">
    <w:nsid w:val="764F0792"/>
    <w:multiLevelType w:val="multilevel"/>
    <w:tmpl w:val="9692EEF6"/>
    <w:lvl w:ilvl="0">
      <w:start w:val="1"/>
      <w:numFmt w:val="taiwaneseCountingThousand"/>
      <w:suff w:val="space"/>
      <w:lvlText w:val="(%1)"/>
      <w:lvlJc w:val="left"/>
      <w:pPr>
        <w:ind w:left="567" w:hanging="567"/>
      </w:pPr>
      <w:rPr>
        <w:rFonts w:cs="Times New Roman" w:hint="eastAsia"/>
      </w:rPr>
    </w:lvl>
    <w:lvl w:ilvl="1">
      <w:start w:val="1"/>
      <w:numFmt w:val="decimal"/>
      <w:suff w:val="space"/>
      <w:lvlText w:val="%2."/>
      <w:lvlJc w:val="left"/>
      <w:pPr>
        <w:ind w:left="851" w:hanging="284"/>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lowerLetter"/>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7">
    <w:nsid w:val="7DE87832"/>
    <w:multiLevelType w:val="hybridMultilevel"/>
    <w:tmpl w:val="B5C012A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C5"/>
    <w:rsid w:val="00014B80"/>
    <w:rsid w:val="00026AC2"/>
    <w:rsid w:val="00031CA5"/>
    <w:rsid w:val="00044FAB"/>
    <w:rsid w:val="000A4E4C"/>
    <w:rsid w:val="000A7C12"/>
    <w:rsid w:val="000C520D"/>
    <w:rsid w:val="000E4067"/>
    <w:rsid w:val="001C62AA"/>
    <w:rsid w:val="001D35E8"/>
    <w:rsid w:val="001E2300"/>
    <w:rsid w:val="002058A9"/>
    <w:rsid w:val="0021612D"/>
    <w:rsid w:val="0023048F"/>
    <w:rsid w:val="00233066"/>
    <w:rsid w:val="00257919"/>
    <w:rsid w:val="002908C8"/>
    <w:rsid w:val="00296BD4"/>
    <w:rsid w:val="00296F20"/>
    <w:rsid w:val="002A03AB"/>
    <w:rsid w:val="002F02BA"/>
    <w:rsid w:val="00323A22"/>
    <w:rsid w:val="00335C3B"/>
    <w:rsid w:val="00346DAD"/>
    <w:rsid w:val="00351570"/>
    <w:rsid w:val="003533DC"/>
    <w:rsid w:val="003829FF"/>
    <w:rsid w:val="00392D61"/>
    <w:rsid w:val="003E2F46"/>
    <w:rsid w:val="004C1B69"/>
    <w:rsid w:val="004C3A6F"/>
    <w:rsid w:val="00511208"/>
    <w:rsid w:val="0057288E"/>
    <w:rsid w:val="005B7922"/>
    <w:rsid w:val="005C7F8C"/>
    <w:rsid w:val="005D7C6F"/>
    <w:rsid w:val="0061616D"/>
    <w:rsid w:val="00687B30"/>
    <w:rsid w:val="006F1D3D"/>
    <w:rsid w:val="006F7D60"/>
    <w:rsid w:val="00771CFE"/>
    <w:rsid w:val="00791024"/>
    <w:rsid w:val="007A27C6"/>
    <w:rsid w:val="007C1C19"/>
    <w:rsid w:val="007E51DA"/>
    <w:rsid w:val="00803F9A"/>
    <w:rsid w:val="00866B70"/>
    <w:rsid w:val="008911F7"/>
    <w:rsid w:val="008F7B8A"/>
    <w:rsid w:val="0095681B"/>
    <w:rsid w:val="00995A96"/>
    <w:rsid w:val="009B05C3"/>
    <w:rsid w:val="009B7FBC"/>
    <w:rsid w:val="009C7358"/>
    <w:rsid w:val="009D0580"/>
    <w:rsid w:val="00A7307F"/>
    <w:rsid w:val="00AD1CE3"/>
    <w:rsid w:val="00AD3F78"/>
    <w:rsid w:val="00AE2FC7"/>
    <w:rsid w:val="00AF1451"/>
    <w:rsid w:val="00B02C4A"/>
    <w:rsid w:val="00BB672E"/>
    <w:rsid w:val="00BD6687"/>
    <w:rsid w:val="00BE385E"/>
    <w:rsid w:val="00BE765F"/>
    <w:rsid w:val="00BF7C29"/>
    <w:rsid w:val="00C16093"/>
    <w:rsid w:val="00C22C2B"/>
    <w:rsid w:val="00C31201"/>
    <w:rsid w:val="00C443CB"/>
    <w:rsid w:val="00C80B9D"/>
    <w:rsid w:val="00CF6281"/>
    <w:rsid w:val="00D118C0"/>
    <w:rsid w:val="00D75350"/>
    <w:rsid w:val="00D9074D"/>
    <w:rsid w:val="00DB151A"/>
    <w:rsid w:val="00DD1D35"/>
    <w:rsid w:val="00DF6310"/>
    <w:rsid w:val="00E12F04"/>
    <w:rsid w:val="00E538F7"/>
    <w:rsid w:val="00E6258F"/>
    <w:rsid w:val="00E94806"/>
    <w:rsid w:val="00EA6F22"/>
    <w:rsid w:val="00ED2D66"/>
    <w:rsid w:val="00F52E52"/>
    <w:rsid w:val="00F76D93"/>
    <w:rsid w:val="00F87F03"/>
    <w:rsid w:val="00F97B92"/>
    <w:rsid w:val="00FA0BBC"/>
    <w:rsid w:val="00FC3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61468E-8C46-400D-A59E-4F02D95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02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1024"/>
    <w:pPr>
      <w:tabs>
        <w:tab w:val="center" w:pos="4153"/>
        <w:tab w:val="right" w:pos="8306"/>
      </w:tabs>
      <w:snapToGrid w:val="0"/>
    </w:pPr>
    <w:rPr>
      <w:sz w:val="20"/>
    </w:rPr>
  </w:style>
  <w:style w:type="character" w:customStyle="1" w:styleId="a4">
    <w:name w:val="頁首 字元"/>
    <w:basedOn w:val="a0"/>
    <w:link w:val="a3"/>
    <w:uiPriority w:val="99"/>
    <w:semiHidden/>
    <w:locked/>
    <w:rsid w:val="00791024"/>
    <w:rPr>
      <w:rFonts w:cs="Times New Roman"/>
    </w:rPr>
  </w:style>
  <w:style w:type="paragraph" w:styleId="a5">
    <w:name w:val="footer"/>
    <w:basedOn w:val="a"/>
    <w:link w:val="a6"/>
    <w:uiPriority w:val="99"/>
    <w:semiHidden/>
    <w:rsid w:val="00791024"/>
    <w:pPr>
      <w:tabs>
        <w:tab w:val="center" w:pos="4153"/>
        <w:tab w:val="right" w:pos="8306"/>
      </w:tabs>
      <w:snapToGrid w:val="0"/>
    </w:pPr>
    <w:rPr>
      <w:sz w:val="20"/>
    </w:rPr>
  </w:style>
  <w:style w:type="character" w:customStyle="1" w:styleId="a6">
    <w:name w:val="頁尾 字元"/>
    <w:basedOn w:val="a0"/>
    <w:link w:val="a5"/>
    <w:uiPriority w:val="99"/>
    <w:semiHidden/>
    <w:locked/>
    <w:rsid w:val="00791024"/>
    <w:rPr>
      <w:rFonts w:cs="Times New Roman"/>
    </w:rPr>
  </w:style>
  <w:style w:type="character" w:styleId="a7">
    <w:name w:val="page number"/>
    <w:basedOn w:val="a0"/>
    <w:uiPriority w:val="99"/>
    <w:semiHidden/>
    <w:rsid w:val="0079102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99"/>
    <w:qFormat/>
    <w:rsid w:val="003829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399</Characters>
  <Application>Microsoft Office Word</Application>
  <DocSecurity>0</DocSecurity>
  <Lines>3</Lines>
  <Paragraphs>1</Paragraphs>
  <ScaleCrop>false</ScaleCrop>
  <Company>證交所</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目_</dc:title>
  <dc:subject/>
  <dc:creator>TSE1</dc:creator>
  <cp:keywords/>
  <dc:description/>
  <cp:lastModifiedBy>林欣穎</cp:lastModifiedBy>
  <cp:revision>6</cp:revision>
  <cp:lastPrinted>2015-01-20T02:54:00Z</cp:lastPrinted>
  <dcterms:created xsi:type="dcterms:W3CDTF">2015-01-23T06:12:00Z</dcterms:created>
  <dcterms:modified xsi:type="dcterms:W3CDTF">2015-01-26T01:21:00Z</dcterms:modified>
</cp:coreProperties>
</file>