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5" w:rsidRPr="00687B30" w:rsidRDefault="00031CA5">
      <w:pPr>
        <w:spacing w:line="500" w:lineRule="exact"/>
        <w:jc w:val="center"/>
        <w:rPr>
          <w:rFonts w:ascii="新細明體"/>
          <w:spacing w:val="24"/>
        </w:rPr>
      </w:pPr>
      <w:r w:rsidRPr="00687B30">
        <w:rPr>
          <w:rFonts w:ascii="新細明體" w:hint="eastAsia"/>
          <w:spacing w:val="24"/>
        </w:rPr>
        <w:t xml:space="preserve">　　　　　　證券股份有限公司</w:t>
      </w:r>
    </w:p>
    <w:p w:rsidR="00031CA5" w:rsidRPr="00687B30" w:rsidRDefault="00030532">
      <w:pPr>
        <w:spacing w:line="400" w:lineRule="exact"/>
        <w:jc w:val="center"/>
        <w:rPr>
          <w:rFonts w:ascii="新細明體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72335" cy="343535"/>
                <wp:effectExtent l="19050" t="19050" r="37465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3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CA5" w:rsidRDefault="003829FF">
                            <w:r>
                              <w:rPr>
                                <w:rFonts w:hint="eastAsia"/>
                              </w:rPr>
                              <w:t>作業週期：每月</w:t>
                            </w:r>
                            <w:r w:rsidR="00031CA5">
                              <w:rPr>
                                <w:rFonts w:hint="eastAsia"/>
                              </w:rPr>
                              <w:t>至少查核乙次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0;margin-top:2pt;width:17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" o:allowincell="f" filled="f" strokecolor="white" strokeweight="4pt">
                <v:textbox inset="1pt,1pt,1pt,1pt">
                  <w:txbxContent>
                    <w:p w:rsidR="00031CA5" w:rsidRDefault="003829FF">
                      <w:r>
                        <w:rPr>
                          <w:rFonts w:hint="eastAsia"/>
                        </w:rPr>
                        <w:t>作業週期：每月</w:t>
                      </w:r>
                      <w:r w:rsidR="00031CA5">
                        <w:rPr>
                          <w:rFonts w:hint="eastAsia"/>
                        </w:rPr>
                        <w:t>至少查核乙次</w:t>
                      </w:r>
                    </w:p>
                  </w:txbxContent>
                </v:textbox>
              </v:rect>
            </w:pict>
          </mc:Fallback>
        </mc:AlternateContent>
      </w:r>
      <w:r w:rsidR="00031CA5" w:rsidRPr="00ED2D66">
        <w:rPr>
          <w:rFonts w:ascii="新細明體" w:hint="eastAsia"/>
        </w:rPr>
        <w:t>業務及收入循環：</w:t>
      </w:r>
      <w:r w:rsidR="00AA5A3B">
        <w:rPr>
          <w:rFonts w:ascii="新細明體" w:hint="eastAsia"/>
        </w:rPr>
        <w:t>櫃檯(其</w:t>
      </w:r>
      <w:r w:rsidR="00AA5A3B">
        <w:rPr>
          <w:rFonts w:ascii="新細明體"/>
        </w:rPr>
        <w:t>他</w:t>
      </w:r>
      <w:r w:rsidR="00AA5A3B">
        <w:rPr>
          <w:rFonts w:ascii="新細明體" w:hint="eastAsia"/>
        </w:rPr>
        <w:t>)</w:t>
      </w:r>
    </w:p>
    <w:p w:rsidR="00031CA5" w:rsidRPr="00687B30" w:rsidRDefault="003829FF">
      <w:pPr>
        <w:spacing w:line="300" w:lineRule="auto"/>
        <w:jc w:val="center"/>
        <w:rPr>
          <w:rFonts w:ascii="標楷體" w:eastAsia="標楷體"/>
          <w:spacing w:val="30"/>
        </w:rPr>
      </w:pPr>
      <w:r>
        <w:rPr>
          <w:rFonts w:ascii="新細明體" w:hint="eastAsia"/>
        </w:rPr>
        <w:t>經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股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權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性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質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群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眾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資</w:t>
      </w:r>
      <w:r w:rsidR="00511208" w:rsidRPr="00687B30">
        <w:rPr>
          <w:rFonts w:ascii="新細明體"/>
        </w:rPr>
        <w:t xml:space="preserve"> </w:t>
      </w:r>
      <w:r>
        <w:rPr>
          <w:rFonts w:ascii="新細明體" w:hint="eastAsia"/>
        </w:rPr>
        <w:t>業</w:t>
      </w:r>
      <w:r>
        <w:rPr>
          <w:rFonts w:ascii="新細明體"/>
        </w:rPr>
        <w:t xml:space="preserve"> </w:t>
      </w:r>
      <w:proofErr w:type="gramStart"/>
      <w:r>
        <w:rPr>
          <w:rFonts w:ascii="新細明體" w:hint="eastAsia"/>
        </w:rPr>
        <w:t>務</w:t>
      </w:r>
      <w:proofErr w:type="gramEnd"/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查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核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明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細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938"/>
        <w:gridCol w:w="567"/>
        <w:gridCol w:w="567"/>
        <w:gridCol w:w="1134"/>
        <w:gridCol w:w="1985"/>
      </w:tblGrid>
      <w:tr w:rsidR="00031CA5" w:rsidRPr="00687B30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</w:rPr>
              <w:t>項</w:t>
            </w:r>
            <w:r w:rsidRPr="00687B30">
              <w:rPr>
                <w:rFonts w:ascii="新細明體"/>
              </w:rPr>
              <w:t xml:space="preserve">     </w:t>
            </w:r>
            <w:r w:rsidRPr="00687B30">
              <w:rPr>
                <w:rFonts w:ascii="新細明體" w:hint="eastAsia"/>
              </w:rPr>
              <w:t>目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  <w:vAlign w:val="center"/>
          </w:tcPr>
          <w:p w:rsidR="00031CA5" w:rsidRPr="00974112" w:rsidRDefault="00031CA5">
            <w:pPr>
              <w:jc w:val="center"/>
              <w:rPr>
                <w:rFonts w:asciiTheme="minorEastAsia" w:eastAsiaTheme="minorEastAsia" w:hAnsiTheme="minorEastAsia"/>
              </w:rPr>
            </w:pPr>
            <w:r w:rsidRPr="00974112">
              <w:rPr>
                <w:rFonts w:asciiTheme="minorEastAsia" w:eastAsiaTheme="minorEastAsia" w:hAnsiTheme="minorEastAsia" w:hint="eastAsia"/>
              </w:rPr>
              <w:t>查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核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程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序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  <w:spacing w:val="60"/>
              </w:rPr>
            </w:pPr>
            <w:r w:rsidRPr="00687B30">
              <w:rPr>
                <w:rFonts w:ascii="新細明體" w:hint="eastAsia"/>
                <w:spacing w:val="60"/>
                <w:sz w:val="22"/>
              </w:rPr>
              <w:t>查核結果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  <w:spacing w:val="60"/>
              </w:rPr>
              <w:t>底稿索引</w:t>
            </w:r>
          </w:p>
        </w:tc>
      </w:tr>
      <w:tr w:rsidR="00031CA5" w:rsidRPr="00687B30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7938" w:type="dxa"/>
            <w:vMerge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是</w:t>
            </w: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否</w:t>
            </w:r>
          </w:p>
        </w:tc>
        <w:tc>
          <w:tcPr>
            <w:tcW w:w="1134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不適用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8F7B8A">
        <w:trPr>
          <w:trHeight w:hRule="exact" w:val="6148"/>
        </w:trPr>
        <w:tc>
          <w:tcPr>
            <w:tcW w:w="1985" w:type="dxa"/>
            <w:tcBorders>
              <w:left w:val="single" w:sz="12" w:space="0" w:color="auto"/>
            </w:tcBorders>
          </w:tcPr>
          <w:p w:rsidR="00031CA5" w:rsidRPr="00687B30" w:rsidRDefault="003829FF">
            <w:pPr>
              <w:spacing w:line="240" w:lineRule="atLeast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經營股權性質群眾募資</w:t>
            </w:r>
            <w:r w:rsidR="007A01F4">
              <w:rPr>
                <w:rFonts w:ascii="新細明體" w:hAnsi="新細明體" w:hint="eastAsia"/>
                <w:color w:val="000000"/>
                <w:spacing w:val="10"/>
              </w:rPr>
              <w:t>-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業務</w:t>
            </w:r>
            <w:r w:rsidR="00331857">
              <w:rPr>
                <w:rFonts w:ascii="新細明體" w:hAnsi="新細明體" w:hint="eastAsia"/>
                <w:color w:val="000000"/>
                <w:spacing w:val="10"/>
              </w:rPr>
              <w:t>管理</w:t>
            </w:r>
            <w:r w:rsidR="007A01F4">
              <w:rPr>
                <w:rFonts w:ascii="新細明體" w:hAnsi="新細明體" w:hint="eastAsia"/>
                <w:color w:val="000000"/>
                <w:spacing w:val="10"/>
              </w:rPr>
              <w:t>查</w:t>
            </w:r>
            <w:r w:rsidR="007A01F4">
              <w:rPr>
                <w:rFonts w:ascii="新細明體" w:hAnsi="新細明體"/>
                <w:color w:val="000000"/>
                <w:spacing w:val="10"/>
              </w:rPr>
              <w:t>核</w:t>
            </w:r>
          </w:p>
        </w:tc>
        <w:tc>
          <w:tcPr>
            <w:tcW w:w="7938" w:type="dxa"/>
          </w:tcPr>
          <w:p w:rsidR="00CC7530" w:rsidRPr="00704BE2" w:rsidRDefault="00CC7530" w:rsidP="00CC7530">
            <w:pPr>
              <w:numPr>
                <w:ilvl w:val="0"/>
                <w:numId w:val="6"/>
              </w:numPr>
              <w:tabs>
                <w:tab w:val="left" w:pos="539"/>
              </w:tabs>
              <w:spacing w:line="420" w:lineRule="atLeast"/>
              <w:jc w:val="both"/>
              <w:rPr>
                <w:rFonts w:ascii="新細明體" w:hAnsi="新細明體"/>
                <w:spacing w:val="24"/>
              </w:rPr>
            </w:pPr>
            <w:r w:rsidRPr="00704BE2">
              <w:rPr>
                <w:rFonts w:ascii="新細明體" w:hAnsi="新細明體" w:hint="eastAsia"/>
                <w:spacing w:val="24"/>
              </w:rPr>
              <w:t>公司對參與募資之投資人</w:t>
            </w:r>
            <w:proofErr w:type="gramStart"/>
            <w:r w:rsidRPr="00704BE2">
              <w:rPr>
                <w:rFonts w:ascii="新細明體" w:hAnsi="新細明體" w:hint="eastAsia"/>
                <w:spacing w:val="24"/>
              </w:rPr>
              <w:t>採</w:t>
            </w:r>
            <w:proofErr w:type="gramEnd"/>
            <w:r w:rsidRPr="00704BE2">
              <w:rPr>
                <w:rFonts w:ascii="新細明體" w:hAnsi="新細明體" w:hint="eastAsia"/>
                <w:spacing w:val="24"/>
              </w:rPr>
              <w:t>行</w:t>
            </w:r>
            <w:r w:rsidR="00026D72">
              <w:rPr>
                <w:rFonts w:ascii="新細明體" w:hAnsi="新細明體" w:hint="eastAsia"/>
                <w:spacing w:val="24"/>
              </w:rPr>
              <w:t>之</w:t>
            </w:r>
            <w:r w:rsidRPr="00704BE2">
              <w:rPr>
                <w:rFonts w:ascii="新細明體" w:hAnsi="新細明體" w:hint="eastAsia"/>
                <w:spacing w:val="24"/>
              </w:rPr>
              <w:t>控管措施：</w:t>
            </w:r>
          </w:p>
          <w:p w:rsidR="003F0039" w:rsidRPr="003518B6" w:rsidRDefault="003F0039" w:rsidP="003F0039">
            <w:pPr>
              <w:pStyle w:val="aa"/>
              <w:numPr>
                <w:ilvl w:val="0"/>
                <w:numId w:val="8"/>
              </w:numPr>
              <w:adjustRightInd/>
              <w:snapToGrid w:val="0"/>
              <w:spacing w:line="400" w:lineRule="exact"/>
              <w:ind w:leftChars="0"/>
              <w:jc w:val="both"/>
              <w:textAlignment w:val="auto"/>
              <w:rPr>
                <w:rFonts w:ascii="新細明體"/>
                <w:color w:val="000000"/>
                <w:spacing w:val="10"/>
              </w:rPr>
            </w:pPr>
            <w:r w:rsidRPr="003518B6">
              <w:rPr>
                <w:rFonts w:ascii="新細明體" w:hAnsi="新細明體" w:hint="eastAsia"/>
                <w:color w:val="000000"/>
                <w:spacing w:val="10"/>
              </w:rPr>
              <w:t>投資人是否於公司之募資平台確認「風險預告書」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與同</w:t>
            </w:r>
            <w:r>
              <w:rPr>
                <w:rFonts w:ascii="新細明體" w:hAnsi="新細明體"/>
                <w:color w:val="000000"/>
                <w:spacing w:val="10"/>
              </w:rPr>
              <w:t>意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依</w:t>
            </w:r>
            <w:r>
              <w:rPr>
                <w:rFonts w:ascii="新細明體" w:hAnsi="新細明體"/>
                <w:color w:val="000000"/>
                <w:spacing w:val="10"/>
              </w:rPr>
              <w:t>個人資料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保</w:t>
            </w:r>
            <w:r>
              <w:rPr>
                <w:rFonts w:ascii="新細明體" w:hAnsi="新細明體"/>
                <w:color w:val="000000"/>
                <w:spacing w:val="10"/>
              </w:rPr>
              <w:t>護法相關規定</w:t>
            </w:r>
            <w:r w:rsidRPr="003518B6">
              <w:rPr>
                <w:rFonts w:ascii="新細明體" w:hAnsi="新細明體" w:hint="eastAsia"/>
                <w:color w:val="000000"/>
                <w:spacing w:val="10"/>
              </w:rPr>
              <w:t>後始得進行認購作業。</w:t>
            </w:r>
          </w:p>
          <w:p w:rsidR="00EF6209" w:rsidRPr="008626BE" w:rsidRDefault="00EF6209" w:rsidP="00EF6209">
            <w:pPr>
              <w:pStyle w:val="aa"/>
              <w:numPr>
                <w:ilvl w:val="0"/>
                <w:numId w:val="8"/>
              </w:numPr>
              <w:adjustRightInd/>
              <w:snapToGrid w:val="0"/>
              <w:spacing w:line="400" w:lineRule="exact"/>
              <w:ind w:leftChars="0"/>
              <w:jc w:val="both"/>
              <w:textAlignment w:val="auto"/>
              <w:rPr>
                <w:rFonts w:ascii="新細明體"/>
                <w:spacing w:val="24"/>
              </w:rPr>
            </w:pP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投資人透過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公司之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募資平台進行認購之投資金額，其單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次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股權募資認購金額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是否</w:t>
            </w:r>
            <w:proofErr w:type="gramStart"/>
            <w:r>
              <w:rPr>
                <w:rFonts w:ascii="新細明體" w:hAnsi="新細明體" w:hint="eastAsia"/>
                <w:color w:val="000000"/>
                <w:spacing w:val="10"/>
              </w:rPr>
              <w:t>未逾新臺幣</w:t>
            </w:r>
            <w:proofErr w:type="gramEnd"/>
            <w:r w:rsidR="00153B59">
              <w:rPr>
                <w:rFonts w:ascii="新細明體" w:hAnsi="新細明體" w:hint="eastAsia"/>
                <w:color w:val="000000"/>
                <w:spacing w:val="10"/>
              </w:rPr>
              <w:t>五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萬元。</w:t>
            </w:r>
          </w:p>
          <w:p w:rsidR="00EF6209" w:rsidRPr="008626BE" w:rsidRDefault="00EF6209" w:rsidP="00EF6209">
            <w:pPr>
              <w:pStyle w:val="aa"/>
              <w:numPr>
                <w:ilvl w:val="0"/>
                <w:numId w:val="8"/>
              </w:numPr>
              <w:adjustRightInd/>
              <w:snapToGrid w:val="0"/>
              <w:spacing w:line="400" w:lineRule="exact"/>
              <w:ind w:leftChars="0"/>
              <w:jc w:val="both"/>
              <w:textAlignment w:val="auto"/>
              <w:rPr>
                <w:rFonts w:ascii="新細明體"/>
                <w:spacing w:val="24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投</w:t>
            </w:r>
            <w:r>
              <w:rPr>
                <w:rFonts w:ascii="新細明體" w:hAnsi="新細明體"/>
                <w:color w:val="000000"/>
                <w:spacing w:val="10"/>
              </w:rPr>
              <w:t>資人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每</w:t>
            </w:r>
            <w:r>
              <w:rPr>
                <w:rFonts w:ascii="新細明體" w:hAnsi="新細明體"/>
                <w:color w:val="000000"/>
                <w:spacing w:val="10"/>
              </w:rPr>
              <w:t>一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年</w:t>
            </w:r>
            <w:r>
              <w:rPr>
                <w:rFonts w:ascii="新細明體" w:hAnsi="新細明體"/>
                <w:color w:val="000000"/>
                <w:spacing w:val="10"/>
              </w:rPr>
              <w:t>度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(一</w:t>
            </w:r>
            <w:r>
              <w:rPr>
                <w:rFonts w:ascii="新細明體" w:hAnsi="新細明體"/>
                <w:color w:val="000000"/>
                <w:spacing w:val="10"/>
              </w:rPr>
              <w:t>月一日至十二月三十一日止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)</w:t>
            </w:r>
            <w:r>
              <w:rPr>
                <w:rFonts w:ascii="新細明體" w:hAnsi="新細明體"/>
                <w:color w:val="000000"/>
                <w:spacing w:val="10"/>
              </w:rPr>
              <w:t>透過公司之募資平台進行認購之投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資</w:t>
            </w:r>
            <w:r>
              <w:rPr>
                <w:rFonts w:ascii="新細明體" w:hAnsi="新細明體"/>
                <w:color w:val="000000"/>
                <w:spacing w:val="10"/>
              </w:rPr>
              <w:t>金額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，合計是否</w:t>
            </w:r>
            <w:proofErr w:type="gramStart"/>
            <w:r>
              <w:rPr>
                <w:rFonts w:ascii="新細明體" w:hAnsi="新細明體" w:hint="eastAsia"/>
                <w:color w:val="000000"/>
                <w:spacing w:val="10"/>
              </w:rPr>
              <w:t>未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逾新臺幣</w:t>
            </w:r>
            <w:proofErr w:type="gramEnd"/>
            <w:r w:rsidR="00153B59">
              <w:rPr>
                <w:rFonts w:ascii="新細明體" w:hAnsi="新細明體" w:hint="eastAsia"/>
                <w:color w:val="000000"/>
                <w:spacing w:val="10"/>
              </w:rPr>
              <w:t>十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萬元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。</w:t>
            </w:r>
          </w:p>
          <w:p w:rsidR="003829FF" w:rsidRPr="003829FF" w:rsidRDefault="00EF6209" w:rsidP="00EF6209">
            <w:pPr>
              <w:pStyle w:val="aa"/>
              <w:numPr>
                <w:ilvl w:val="0"/>
                <w:numId w:val="8"/>
              </w:numPr>
              <w:adjustRightInd/>
              <w:snapToGrid w:val="0"/>
              <w:spacing w:line="400" w:lineRule="exact"/>
              <w:ind w:leftChars="0"/>
              <w:jc w:val="both"/>
              <w:textAlignment w:val="auto"/>
              <w:rPr>
                <w:rFonts w:ascii="新細明體"/>
                <w:color w:val="000000"/>
                <w:spacing w:val="10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前</w:t>
            </w:r>
            <w:r>
              <w:rPr>
                <w:rFonts w:ascii="新細明體" w:hAnsi="新細明體"/>
                <w:color w:val="000000"/>
                <w:spacing w:val="10"/>
              </w:rPr>
              <w:t>揭投資限額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，</w:t>
            </w:r>
            <w:r w:rsidR="00F93899" w:rsidRPr="00F93899">
              <w:rPr>
                <w:rFonts w:ascii="新細明體" w:hAnsi="新細明體" w:hint="eastAsia"/>
                <w:color w:val="FF0000"/>
                <w:spacing w:val="10"/>
                <w:u w:val="single"/>
              </w:rPr>
              <w:t>天使</w:t>
            </w:r>
            <w:r w:rsidRPr="00F93899">
              <w:rPr>
                <w:rFonts w:ascii="新細明體" w:hAnsi="新細明體" w:hint="eastAsia"/>
                <w:strike/>
                <w:color w:val="FF0000"/>
                <w:spacing w:val="10"/>
              </w:rPr>
              <w:t>專業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投資人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對任何募資公司之認購投資金額，</w:t>
            </w:r>
            <w:proofErr w:type="gramStart"/>
            <w:r>
              <w:rPr>
                <w:rFonts w:ascii="新細明體" w:hAnsi="新細明體" w:hint="eastAsia"/>
                <w:color w:val="000000"/>
                <w:spacing w:val="10"/>
              </w:rPr>
              <w:t>及募資</w:t>
            </w:r>
            <w:proofErr w:type="gramEnd"/>
            <w:r>
              <w:rPr>
                <w:rFonts w:ascii="新細明體" w:hAnsi="新細明體" w:hint="eastAsia"/>
                <w:color w:val="000000"/>
                <w:spacing w:val="10"/>
              </w:rPr>
              <w:t>公司之董事</w:t>
            </w:r>
            <w:r>
              <w:rPr>
                <w:rFonts w:ascii="新細明體" w:hAnsi="新細明體"/>
                <w:color w:val="000000"/>
                <w:spacing w:val="10"/>
              </w:rPr>
              <w:t>、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監</w:t>
            </w:r>
            <w:r>
              <w:rPr>
                <w:rFonts w:ascii="新細明體" w:hAnsi="新細明體"/>
                <w:color w:val="000000"/>
                <w:spacing w:val="10"/>
              </w:rPr>
              <w:t>察人及持股百分之十以上大股東</w:t>
            </w:r>
            <w:proofErr w:type="gramStart"/>
            <w:r>
              <w:rPr>
                <w:rFonts w:ascii="新細明體" w:hAnsi="新細明體" w:hint="eastAsia"/>
                <w:color w:val="000000"/>
                <w:spacing w:val="10"/>
              </w:rPr>
              <w:t>對該募資</w:t>
            </w:r>
            <w:proofErr w:type="gramEnd"/>
            <w:r>
              <w:rPr>
                <w:rFonts w:ascii="新細明體" w:hAnsi="新細明體" w:hint="eastAsia"/>
                <w:color w:val="000000"/>
                <w:spacing w:val="10"/>
              </w:rPr>
              <w:t>公司之認購投資金額，不</w:t>
            </w:r>
            <w:r w:rsidRPr="00C80B9D">
              <w:rPr>
                <w:rFonts w:ascii="新細明體" w:hAnsi="新細明體" w:hint="eastAsia"/>
                <w:color w:val="000000"/>
                <w:spacing w:val="10"/>
              </w:rPr>
              <w:t>在此限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，惟公司是否依</w:t>
            </w:r>
            <w:proofErr w:type="gramStart"/>
            <w:r>
              <w:rPr>
                <w:rFonts w:ascii="新細明體" w:hAnsi="新細明體" w:hint="eastAsia"/>
                <w:color w:val="000000"/>
                <w:spacing w:val="10"/>
              </w:rPr>
              <w:t>規</w:t>
            </w:r>
            <w:proofErr w:type="gramEnd"/>
            <w:r>
              <w:rPr>
                <w:rFonts w:ascii="新細明體" w:hAnsi="新細明體" w:hint="eastAsia"/>
                <w:color w:val="000000"/>
                <w:spacing w:val="10"/>
              </w:rPr>
              <w:t>確認</w:t>
            </w:r>
            <w:r w:rsidR="00734A55" w:rsidRPr="00734A55">
              <w:rPr>
                <w:rFonts w:ascii="新細明體" w:hAnsi="新細明體" w:hint="eastAsia"/>
                <w:color w:val="FF0000"/>
                <w:spacing w:val="10"/>
                <w:u w:val="single"/>
              </w:rPr>
              <w:t>天使</w:t>
            </w:r>
            <w:r w:rsidRPr="00734A55">
              <w:rPr>
                <w:rFonts w:ascii="新細明體" w:hAnsi="新細明體" w:hint="eastAsia"/>
                <w:strike/>
                <w:color w:val="FF0000"/>
                <w:spacing w:val="10"/>
              </w:rPr>
              <w:t>專業</w:t>
            </w:r>
            <w:proofErr w:type="gramStart"/>
            <w:r>
              <w:rPr>
                <w:rFonts w:ascii="新細明體" w:hAnsi="新細明體" w:hint="eastAsia"/>
                <w:color w:val="000000"/>
                <w:spacing w:val="10"/>
              </w:rPr>
              <w:t>投資人及募資</w:t>
            </w:r>
            <w:proofErr w:type="gramEnd"/>
            <w:r>
              <w:rPr>
                <w:rFonts w:ascii="新細明體" w:hAnsi="新細明體" w:hint="eastAsia"/>
                <w:color w:val="000000"/>
                <w:spacing w:val="10"/>
              </w:rPr>
              <w:t>公司之董</w:t>
            </w:r>
            <w:r>
              <w:rPr>
                <w:rFonts w:ascii="新細明體" w:hAnsi="新細明體"/>
                <w:color w:val="000000"/>
                <w:spacing w:val="10"/>
              </w:rPr>
              <w:t>事、監察人及持股百分之十以上大</w:t>
            </w:r>
            <w:r>
              <w:rPr>
                <w:rFonts w:ascii="新細明體" w:hAnsi="新細明體" w:hint="eastAsia"/>
                <w:color w:val="000000"/>
                <w:spacing w:val="10"/>
              </w:rPr>
              <w:t>股東之身份。</w:t>
            </w:r>
            <w:bookmarkStart w:id="0" w:name="_GoBack"/>
            <w:bookmarkEnd w:id="0"/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  <w:p w:rsidR="00031CA5" w:rsidRPr="00687B30" w:rsidRDefault="00031CA5">
            <w:pPr>
              <w:jc w:val="center"/>
              <w:rPr>
                <w:rFonts w:ascii="標楷體" w:eastAsia="標楷體"/>
              </w:rPr>
            </w:pPr>
          </w:p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134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3E2F46">
        <w:trPr>
          <w:cantSplit/>
          <w:trHeight w:hRule="exact" w:val="1005"/>
        </w:trPr>
        <w:tc>
          <w:tcPr>
            <w:tcW w:w="14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A5" w:rsidRPr="00687B30" w:rsidRDefault="00031CA5">
            <w:pPr>
              <w:ind w:firstLine="180"/>
            </w:pPr>
            <w:r w:rsidRPr="00687B30">
              <w:rPr>
                <w:rFonts w:hint="eastAsia"/>
                <w:spacing w:val="24"/>
              </w:rPr>
              <w:t>備</w:t>
            </w:r>
            <w:r w:rsidRPr="00687B30">
              <w:rPr>
                <w:spacing w:val="24"/>
              </w:rPr>
              <w:t xml:space="preserve">  </w:t>
            </w:r>
            <w:proofErr w:type="gramStart"/>
            <w:r w:rsidRPr="00687B30">
              <w:rPr>
                <w:rFonts w:hint="eastAsia"/>
                <w:spacing w:val="24"/>
              </w:rPr>
              <w:t>註</w:t>
            </w:r>
            <w:proofErr w:type="gramEnd"/>
            <w:r w:rsidRPr="00687B30">
              <w:rPr>
                <w:rFonts w:hint="eastAsia"/>
                <w:spacing w:val="24"/>
              </w:rPr>
              <w:t>：</w:t>
            </w:r>
            <w:r w:rsidR="00F76D93">
              <w:rPr>
                <w:spacing w:val="24"/>
              </w:rPr>
              <w:t xml:space="preserve"> </w:t>
            </w:r>
          </w:p>
        </w:tc>
      </w:tr>
    </w:tbl>
    <w:p w:rsidR="00031CA5" w:rsidRPr="00687B30" w:rsidRDefault="00031CA5">
      <w:pPr>
        <w:spacing w:line="500" w:lineRule="atLeast"/>
        <w:ind w:firstLine="9361"/>
        <w:jc w:val="both"/>
        <w:rPr>
          <w:rFonts w:eastAsia="標楷體"/>
        </w:rPr>
      </w:pPr>
      <w:r w:rsidRPr="00687B30">
        <w:rPr>
          <w:rFonts w:hint="eastAsia"/>
          <w:spacing w:val="24"/>
        </w:rPr>
        <w:t>稽核人員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　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日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期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</w:t>
      </w:r>
      <w:r w:rsidRPr="00687B30">
        <w:rPr>
          <w:rFonts w:eastAsia="標楷體" w:hint="eastAsia"/>
          <w:spacing w:val="24"/>
        </w:rPr>
        <w:t xml:space="preserve">　</w:t>
      </w:r>
    </w:p>
    <w:sectPr w:rsidR="00031CA5" w:rsidRPr="00687B30" w:rsidSect="00F94ED4">
      <w:pgSz w:w="16840" w:h="11907" w:orient="landscape" w:code="9"/>
      <w:pgMar w:top="719" w:right="1418" w:bottom="284" w:left="1418" w:header="851" w:footer="992" w:gutter="0"/>
      <w:pgNumType w:start="36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E0" w:rsidRDefault="004208E0">
      <w:pPr>
        <w:spacing w:line="240" w:lineRule="auto"/>
      </w:pPr>
      <w:r>
        <w:separator/>
      </w:r>
    </w:p>
  </w:endnote>
  <w:endnote w:type="continuationSeparator" w:id="0">
    <w:p w:rsidR="004208E0" w:rsidRDefault="00420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10 Pi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E0" w:rsidRDefault="004208E0">
      <w:pPr>
        <w:spacing w:line="240" w:lineRule="auto"/>
      </w:pPr>
      <w:r>
        <w:separator/>
      </w:r>
    </w:p>
  </w:footnote>
  <w:footnote w:type="continuationSeparator" w:id="0">
    <w:p w:rsidR="004208E0" w:rsidRDefault="004208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A47"/>
    <w:multiLevelType w:val="multilevel"/>
    <w:tmpl w:val="234473BC"/>
    <w:lvl w:ilvl="0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021" w:hanging="454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298E5F92"/>
    <w:multiLevelType w:val="hybridMultilevel"/>
    <w:tmpl w:val="FA10C668"/>
    <w:lvl w:ilvl="0" w:tplc="AAF0561C">
      <w:start w:val="1"/>
      <w:numFmt w:val="taiwaneseCountingThousand"/>
      <w:lvlText w:val="(%1)"/>
      <w:lvlJc w:val="left"/>
      <w:pPr>
        <w:ind w:left="1350" w:hanging="51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>
    <w:nsid w:val="35373865"/>
    <w:multiLevelType w:val="hybridMultilevel"/>
    <w:tmpl w:val="6C9AEBDE"/>
    <w:lvl w:ilvl="0" w:tplc="9E3E5DDE">
      <w:start w:val="6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E836355"/>
    <w:multiLevelType w:val="singleLevel"/>
    <w:tmpl w:val="E9561942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</w:abstractNum>
  <w:abstractNum w:abstractNumId="4">
    <w:nsid w:val="487C019D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9A71537"/>
    <w:multiLevelType w:val="hybridMultilevel"/>
    <w:tmpl w:val="075814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2F73A84"/>
    <w:multiLevelType w:val="multilevel"/>
    <w:tmpl w:val="14F6A60E"/>
    <w:lvl w:ilvl="0">
      <w:start w:val="1"/>
      <w:numFmt w:val="aiueo"/>
      <w:lvlText w:val="%1、"/>
      <w:legacy w:legacy="1" w:legacySpace="0" w:legacyIndent="567"/>
      <w:lvlJc w:val="left"/>
      <w:pPr>
        <w:ind w:left="567" w:hanging="567"/>
      </w:pPr>
      <w:rPr>
        <w:rFonts w:cs="Times New Roman"/>
      </w:rPr>
    </w:lvl>
    <w:lvl w:ilvl="1">
      <w:start w:val="1"/>
      <w:numFmt w:val="aiueo"/>
      <w:lvlText w:val="(%2)"/>
      <w:legacy w:legacy="1" w:legacySpace="0" w:legacyIndent="510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1502" w:hanging="425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25"/>
      <w:lvlJc w:val="left"/>
      <w:pPr>
        <w:ind w:left="1927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352" w:hanging="425"/>
      </w:pPr>
      <w:rPr>
        <w:rFonts w:cs="Times New Roman"/>
      </w:rPr>
    </w:lvl>
    <w:lvl w:ilvl="5">
      <w:start w:val="1"/>
      <w:numFmt w:val="lowerLetter"/>
      <w:lvlText w:val="%6."/>
      <w:legacy w:legacy="1" w:legacySpace="0" w:legacyIndent="425"/>
      <w:lvlJc w:val="left"/>
      <w:pPr>
        <w:ind w:left="2777" w:hanging="425"/>
      </w:pPr>
      <w:rPr>
        <w:rFonts w:cs="Times New Roman"/>
      </w:rPr>
    </w:lvl>
    <w:lvl w:ilvl="6">
      <w:start w:val="1"/>
      <w:numFmt w:val="lowerLetter"/>
      <w:lvlText w:val="%7)"/>
      <w:legacy w:legacy="1" w:legacySpace="0" w:legacyIndent="425"/>
      <w:lvlJc w:val="left"/>
      <w:pPr>
        <w:ind w:left="3202" w:hanging="425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425"/>
      <w:lvlJc w:val="left"/>
      <w:pPr>
        <w:ind w:left="3627" w:hanging="42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5"/>
      <w:lvlJc w:val="left"/>
      <w:pPr>
        <w:ind w:left="4052" w:hanging="425"/>
      </w:pPr>
      <w:rPr>
        <w:rFonts w:cs="Times New Roman"/>
      </w:rPr>
    </w:lvl>
  </w:abstractNum>
  <w:abstractNum w:abstractNumId="7">
    <w:nsid w:val="764F0792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>
    <w:nsid w:val="7DE87832"/>
    <w:multiLevelType w:val="hybridMultilevel"/>
    <w:tmpl w:val="B5C012A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C5"/>
    <w:rsid w:val="0000715C"/>
    <w:rsid w:val="00014B80"/>
    <w:rsid w:val="00026AC2"/>
    <w:rsid w:val="00026D72"/>
    <w:rsid w:val="00030532"/>
    <w:rsid w:val="00031CA5"/>
    <w:rsid w:val="00044FAB"/>
    <w:rsid w:val="0007168D"/>
    <w:rsid w:val="00084EA9"/>
    <w:rsid w:val="000A0277"/>
    <w:rsid w:val="000A4E4C"/>
    <w:rsid w:val="000A7C12"/>
    <w:rsid w:val="000C520D"/>
    <w:rsid w:val="000E4067"/>
    <w:rsid w:val="00153B59"/>
    <w:rsid w:val="001D35E8"/>
    <w:rsid w:val="001E2300"/>
    <w:rsid w:val="002058A9"/>
    <w:rsid w:val="0021612D"/>
    <w:rsid w:val="0023048F"/>
    <w:rsid w:val="002908C8"/>
    <w:rsid w:val="00296BD4"/>
    <w:rsid w:val="00296F20"/>
    <w:rsid w:val="002A03AB"/>
    <w:rsid w:val="002F02BA"/>
    <w:rsid w:val="00331857"/>
    <w:rsid w:val="00346DAD"/>
    <w:rsid w:val="00351570"/>
    <w:rsid w:val="003829FF"/>
    <w:rsid w:val="00392D61"/>
    <w:rsid w:val="003E2F46"/>
    <w:rsid w:val="003F0039"/>
    <w:rsid w:val="004208E0"/>
    <w:rsid w:val="00425A17"/>
    <w:rsid w:val="004C1B69"/>
    <w:rsid w:val="004C3A6F"/>
    <w:rsid w:val="00511208"/>
    <w:rsid w:val="005B7922"/>
    <w:rsid w:val="005C7F8C"/>
    <w:rsid w:val="0061616D"/>
    <w:rsid w:val="00687B30"/>
    <w:rsid w:val="006F1D3D"/>
    <w:rsid w:val="006F7D60"/>
    <w:rsid w:val="00734A55"/>
    <w:rsid w:val="00771CFE"/>
    <w:rsid w:val="007A01F4"/>
    <w:rsid w:val="007A27C6"/>
    <w:rsid w:val="00803F9A"/>
    <w:rsid w:val="00866B70"/>
    <w:rsid w:val="008911F7"/>
    <w:rsid w:val="008F7B8A"/>
    <w:rsid w:val="0095681B"/>
    <w:rsid w:val="00974112"/>
    <w:rsid w:val="009B34F2"/>
    <w:rsid w:val="009B7FBC"/>
    <w:rsid w:val="009C4E02"/>
    <w:rsid w:val="009C7358"/>
    <w:rsid w:val="009D0580"/>
    <w:rsid w:val="00A71D4C"/>
    <w:rsid w:val="00A7307F"/>
    <w:rsid w:val="00AA5A3B"/>
    <w:rsid w:val="00AD1CE3"/>
    <w:rsid w:val="00AD3F78"/>
    <w:rsid w:val="00AF1451"/>
    <w:rsid w:val="00AF36A6"/>
    <w:rsid w:val="00B02C4A"/>
    <w:rsid w:val="00BB672E"/>
    <w:rsid w:val="00BD6687"/>
    <w:rsid w:val="00BE765F"/>
    <w:rsid w:val="00BF6A25"/>
    <w:rsid w:val="00C16093"/>
    <w:rsid w:val="00C80B9D"/>
    <w:rsid w:val="00CC7530"/>
    <w:rsid w:val="00CF6281"/>
    <w:rsid w:val="00D75350"/>
    <w:rsid w:val="00DB151A"/>
    <w:rsid w:val="00DD1D35"/>
    <w:rsid w:val="00DD7996"/>
    <w:rsid w:val="00DF0166"/>
    <w:rsid w:val="00DF1479"/>
    <w:rsid w:val="00DF6310"/>
    <w:rsid w:val="00E12F04"/>
    <w:rsid w:val="00E538F7"/>
    <w:rsid w:val="00E6258F"/>
    <w:rsid w:val="00E94806"/>
    <w:rsid w:val="00EA6F22"/>
    <w:rsid w:val="00ED2D66"/>
    <w:rsid w:val="00EF6209"/>
    <w:rsid w:val="00F12293"/>
    <w:rsid w:val="00F76D93"/>
    <w:rsid w:val="00F87F03"/>
    <w:rsid w:val="00F93899"/>
    <w:rsid w:val="00F94ED4"/>
    <w:rsid w:val="00F97B92"/>
    <w:rsid w:val="00FC3FC5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證交所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目_</dc:title>
  <dc:subject/>
  <dc:creator>TSE1</dc:creator>
  <cp:keywords/>
  <dc:description/>
  <cp:lastModifiedBy>林雅儒</cp:lastModifiedBy>
  <cp:revision>10</cp:revision>
  <cp:lastPrinted>2016-03-25T01:04:00Z</cp:lastPrinted>
  <dcterms:created xsi:type="dcterms:W3CDTF">2015-01-23T06:12:00Z</dcterms:created>
  <dcterms:modified xsi:type="dcterms:W3CDTF">2016-03-25T01:04:00Z</dcterms:modified>
</cp:coreProperties>
</file>