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proofErr w:type="gramStart"/>
      <w:r>
        <w:rPr>
          <w:rFonts w:ascii="新細明體" w:hint="eastAsia"/>
        </w:rPr>
        <w:t>務</w:t>
      </w:r>
      <w:proofErr w:type="gramEnd"/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8F7B8A">
        <w:trPr>
          <w:trHeight w:hRule="exact" w:val="6148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3829FF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-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業務</w:t>
            </w:r>
            <w:r w:rsidR="00331857">
              <w:rPr>
                <w:rFonts w:ascii="新細明體" w:hAnsi="新細明體" w:hint="eastAsia"/>
                <w:color w:val="000000"/>
                <w:spacing w:val="10"/>
              </w:rPr>
              <w:t>管理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查</w:t>
            </w:r>
            <w:r w:rsidR="007A01F4">
              <w:rPr>
                <w:rFonts w:ascii="新細明體" w:hAnsi="新細明體"/>
                <w:color w:val="000000"/>
                <w:spacing w:val="10"/>
              </w:rPr>
              <w:t>核</w:t>
            </w:r>
          </w:p>
        </w:tc>
        <w:tc>
          <w:tcPr>
            <w:tcW w:w="7938" w:type="dxa"/>
          </w:tcPr>
          <w:p w:rsidR="00261832" w:rsidRDefault="00261832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9A24B6">
              <w:rPr>
                <w:rFonts w:ascii="新細明體" w:hAnsi="新細明體" w:hint="eastAsia"/>
                <w:color w:val="FF0000"/>
                <w:u w:val="single"/>
              </w:rPr>
              <w:t>公司辦理推介認購於其募資平台股權募資公司之對象、</w:t>
            </w:r>
            <w:r w:rsidR="006123E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禁止行為、研究報告、利益衝突之揭露</w:t>
            </w:r>
            <w:r w:rsidRPr="009A24B6">
              <w:rPr>
                <w:rFonts w:ascii="新細明體" w:hAnsi="新細明體" w:hint="eastAsia"/>
                <w:color w:val="FF0000"/>
                <w:u w:val="single"/>
              </w:rPr>
              <w:t>及記錄之保存，是否符合</w:t>
            </w:r>
            <w:r w:rsidRPr="009A24B6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「證券商經營股權性質群眾募資管理辦法」之相關規定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:rsidR="00261832" w:rsidRDefault="00261832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261832">
              <w:rPr>
                <w:rFonts w:ascii="新細明體" w:hAnsi="新細明體" w:hint="eastAsia"/>
                <w:color w:val="FF0000"/>
                <w:u w:val="single"/>
              </w:rPr>
              <w:t>公司從事廣告業務招攬活動是否符合「金融服務業從事廣告業務招攬及營業促銷活動辦法」及中華民國證券商業同業公會「會員從事廣告、業務招攬及營業促銷活動管理辦法」之相關規定及下列規定</w:t>
            </w:r>
            <w:r w:rsidRPr="00261832">
              <w:rPr>
                <w:rFonts w:ascii="新細明體" w:hAnsi="新細明體"/>
                <w:color w:val="FF0000"/>
                <w:u w:val="single"/>
              </w:rPr>
              <w:t>:</w:t>
            </w:r>
            <w:r w:rsidRPr="00261832">
              <w:rPr>
                <w:rFonts w:ascii="新細明體" w:hAnsi="新細明體"/>
                <w:color w:val="FF0000"/>
                <w:u w:val="single"/>
              </w:rPr>
              <w:br/>
              <w:t>1.</w:t>
            </w:r>
            <w:r w:rsidRPr="00261832">
              <w:rPr>
                <w:rFonts w:ascii="新細明體" w:hAnsi="新細明體" w:hint="eastAsia"/>
                <w:color w:val="FF0000"/>
                <w:u w:val="single"/>
              </w:rPr>
              <w:t>活動</w:t>
            </w:r>
            <w:bookmarkStart w:id="0" w:name="_GoBack"/>
            <w:bookmarkEnd w:id="0"/>
            <w:r w:rsidRPr="00261832">
              <w:rPr>
                <w:rFonts w:ascii="新細明體" w:hAnsi="新細明體" w:hint="eastAsia"/>
                <w:color w:val="FF0000"/>
                <w:u w:val="single"/>
              </w:rPr>
              <w:t>內容不得涉及預測公司價值、財務或業務等資訊。</w:t>
            </w:r>
            <w:r>
              <w:rPr>
                <w:rFonts w:ascii="新細明體" w:hAnsi="新細明體"/>
                <w:spacing w:val="24"/>
              </w:rPr>
              <w:br/>
            </w:r>
            <w:r w:rsidRPr="00261832">
              <w:rPr>
                <w:rFonts w:ascii="新細明體" w:hAnsi="新細明體"/>
                <w:color w:val="FF0000"/>
                <w:u w:val="single"/>
              </w:rPr>
              <w:t>2.</w:t>
            </w:r>
            <w:r w:rsidRPr="00261832">
              <w:rPr>
                <w:rFonts w:ascii="新細明體" w:hAnsi="新細明體" w:hint="eastAsia"/>
                <w:color w:val="FF0000"/>
                <w:u w:val="single"/>
              </w:rPr>
              <w:t>舉辦現場講習會、座談會、說明會、現場展示會等公開活動，是否全程錄音錄影且至少保存五年，但有爭議者，是否保存至該爭議消除為止。</w:t>
            </w:r>
          </w:p>
          <w:p w:rsidR="00261832" w:rsidRPr="00261832" w:rsidRDefault="00A83088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5F63DE">
              <w:rPr>
                <w:rFonts w:ascii="新細明體" w:hAnsi="新細明體" w:hint="eastAsia"/>
                <w:color w:val="FF0000"/>
                <w:u w:val="single"/>
              </w:rPr>
              <w:t>公司向投資人收取手續費或其他相關服務費用時，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是否</w:t>
            </w:r>
            <w:r w:rsidRPr="005F63DE">
              <w:rPr>
                <w:rFonts w:ascii="新細明體" w:hAnsi="新細明體" w:hint="eastAsia"/>
                <w:color w:val="FF0000"/>
                <w:u w:val="single"/>
              </w:rPr>
              <w:t>於募資平台揭示其收費原則、計算方式或基礎。</w:t>
            </w: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proofErr w:type="gramStart"/>
            <w:r w:rsidRPr="00687B30">
              <w:rPr>
                <w:rFonts w:hint="eastAsia"/>
                <w:spacing w:val="24"/>
              </w:rPr>
              <w:t>註</w:t>
            </w:r>
            <w:proofErr w:type="gramEnd"/>
            <w:r w:rsidRPr="00687B30">
              <w:rPr>
                <w:rFonts w:hint="eastAsia"/>
                <w:spacing w:val="24"/>
              </w:rPr>
              <w:t>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A1" w:rsidRDefault="005322A1">
      <w:pPr>
        <w:spacing w:line="240" w:lineRule="auto"/>
      </w:pPr>
      <w:r>
        <w:separator/>
      </w:r>
    </w:p>
  </w:endnote>
  <w:endnote w:type="continuationSeparator" w:id="0">
    <w:p w:rsidR="005322A1" w:rsidRDefault="00532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A1" w:rsidRDefault="005322A1">
      <w:pPr>
        <w:spacing w:line="240" w:lineRule="auto"/>
      </w:pPr>
      <w:r>
        <w:separator/>
      </w:r>
    </w:p>
  </w:footnote>
  <w:footnote w:type="continuationSeparator" w:id="0">
    <w:p w:rsidR="005322A1" w:rsidRDefault="00532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122D758D"/>
    <w:multiLevelType w:val="singleLevel"/>
    <w:tmpl w:val="D83E8314"/>
    <w:lvl w:ilvl="0">
      <w:start w:val="1"/>
      <w:numFmt w:val="decimal"/>
      <w:lvlText w:val="%1."/>
      <w:lvlJc w:val="left"/>
      <w:pPr>
        <w:tabs>
          <w:tab w:val="num" w:pos="1007"/>
        </w:tabs>
        <w:ind w:left="1007" w:hanging="195"/>
      </w:pPr>
      <w:rPr>
        <w:rFonts w:ascii="新細明體" w:eastAsia="新細明體" w:cs="Times New Roman" w:hint="eastAsia"/>
        <w:color w:val="FF0000"/>
        <w:u w:val="single"/>
      </w:rPr>
    </w:lvl>
  </w:abstractNum>
  <w:abstractNum w:abstractNumId="2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">
    <w:nsid w:val="35373865"/>
    <w:multiLevelType w:val="hybridMultilevel"/>
    <w:tmpl w:val="13BA3B00"/>
    <w:lvl w:ilvl="0" w:tplc="F0CE8D6C">
      <w:start w:val="7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5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8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9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44FAB"/>
    <w:rsid w:val="0007168D"/>
    <w:rsid w:val="00084EA9"/>
    <w:rsid w:val="000A0277"/>
    <w:rsid w:val="000A4E4C"/>
    <w:rsid w:val="000A7C12"/>
    <w:rsid w:val="000C520D"/>
    <w:rsid w:val="000E4067"/>
    <w:rsid w:val="00153B59"/>
    <w:rsid w:val="001D35E8"/>
    <w:rsid w:val="001E2300"/>
    <w:rsid w:val="002058A9"/>
    <w:rsid w:val="0021612D"/>
    <w:rsid w:val="0023048F"/>
    <w:rsid w:val="00261832"/>
    <w:rsid w:val="002908C8"/>
    <w:rsid w:val="00296BD4"/>
    <w:rsid w:val="00296F20"/>
    <w:rsid w:val="002A03AB"/>
    <w:rsid w:val="002F02BA"/>
    <w:rsid w:val="00331857"/>
    <w:rsid w:val="00346DAD"/>
    <w:rsid w:val="00351570"/>
    <w:rsid w:val="003829FF"/>
    <w:rsid w:val="00392D61"/>
    <w:rsid w:val="003E2F46"/>
    <w:rsid w:val="003F0039"/>
    <w:rsid w:val="00421572"/>
    <w:rsid w:val="00425A17"/>
    <w:rsid w:val="004C1B69"/>
    <w:rsid w:val="004C3A6F"/>
    <w:rsid w:val="00511208"/>
    <w:rsid w:val="005322A1"/>
    <w:rsid w:val="005B7922"/>
    <w:rsid w:val="005C7F8C"/>
    <w:rsid w:val="006123EF"/>
    <w:rsid w:val="0061616D"/>
    <w:rsid w:val="00687B30"/>
    <w:rsid w:val="006F1D3D"/>
    <w:rsid w:val="006F7D60"/>
    <w:rsid w:val="00771CFE"/>
    <w:rsid w:val="007A01F4"/>
    <w:rsid w:val="007A27C6"/>
    <w:rsid w:val="00803F9A"/>
    <w:rsid w:val="00866B70"/>
    <w:rsid w:val="008911F7"/>
    <w:rsid w:val="008E5B8A"/>
    <w:rsid w:val="008F7B8A"/>
    <w:rsid w:val="0095681B"/>
    <w:rsid w:val="00974112"/>
    <w:rsid w:val="009B34F2"/>
    <w:rsid w:val="009B7FBC"/>
    <w:rsid w:val="009C4E02"/>
    <w:rsid w:val="009C7358"/>
    <w:rsid w:val="009D0580"/>
    <w:rsid w:val="00A71D4C"/>
    <w:rsid w:val="00A7307F"/>
    <w:rsid w:val="00A83088"/>
    <w:rsid w:val="00AA5A3B"/>
    <w:rsid w:val="00AD1CE3"/>
    <w:rsid w:val="00AD3F78"/>
    <w:rsid w:val="00AF1451"/>
    <w:rsid w:val="00AF36A6"/>
    <w:rsid w:val="00B02C4A"/>
    <w:rsid w:val="00BB672E"/>
    <w:rsid w:val="00BD6687"/>
    <w:rsid w:val="00BE765F"/>
    <w:rsid w:val="00BF6A25"/>
    <w:rsid w:val="00C16093"/>
    <w:rsid w:val="00C80B9D"/>
    <w:rsid w:val="00CC7530"/>
    <w:rsid w:val="00CF6281"/>
    <w:rsid w:val="00D75350"/>
    <w:rsid w:val="00DB151A"/>
    <w:rsid w:val="00DD1D35"/>
    <w:rsid w:val="00DD7996"/>
    <w:rsid w:val="00DF0166"/>
    <w:rsid w:val="00DF1479"/>
    <w:rsid w:val="00DF6310"/>
    <w:rsid w:val="00E12F04"/>
    <w:rsid w:val="00E538F7"/>
    <w:rsid w:val="00E6258F"/>
    <w:rsid w:val="00E94806"/>
    <w:rsid w:val="00EA6F22"/>
    <w:rsid w:val="00ED2D66"/>
    <w:rsid w:val="00EF6209"/>
    <w:rsid w:val="00F12293"/>
    <w:rsid w:val="00F27E38"/>
    <w:rsid w:val="00F76D93"/>
    <w:rsid w:val="00F87F03"/>
    <w:rsid w:val="00F93899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證交所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林雅儒</cp:lastModifiedBy>
  <cp:revision>14</cp:revision>
  <cp:lastPrinted>2014-10-03T08:06:00Z</cp:lastPrinted>
  <dcterms:created xsi:type="dcterms:W3CDTF">2015-01-23T06:12:00Z</dcterms:created>
  <dcterms:modified xsi:type="dcterms:W3CDTF">2016-03-28T06:21:00Z</dcterms:modified>
</cp:coreProperties>
</file>