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3" w:rsidRDefault="00B12833" w:rsidP="00C6607A">
      <w:pPr>
        <w:ind w:rightChars="-69" w:right="-166"/>
        <w:jc w:val="center"/>
        <w:rPr>
          <w:rFonts w:ascii="新細明體"/>
        </w:rPr>
      </w:pPr>
      <w:r w:rsidRPr="00CE4FA3">
        <w:rPr>
          <w:rFonts w:ascii="新細明體" w:hint="eastAsia"/>
        </w:rPr>
        <w:t>業</w:t>
      </w:r>
      <w:r w:rsidRPr="00CE4FA3">
        <w:rPr>
          <w:rFonts w:ascii="新細明體"/>
        </w:rPr>
        <w:t xml:space="preserve"> </w:t>
      </w:r>
      <w:proofErr w:type="gramStart"/>
      <w:r w:rsidRPr="00CE4FA3">
        <w:rPr>
          <w:rFonts w:ascii="新細明體" w:hint="eastAsia"/>
        </w:rPr>
        <w:t>務</w:t>
      </w:r>
      <w:proofErr w:type="gramEnd"/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及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收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入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循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環：</w:t>
      </w:r>
      <w:r w:rsidR="00630D4D">
        <w:rPr>
          <w:rFonts w:ascii="新細明體" w:hint="eastAsia"/>
        </w:rPr>
        <w:t xml:space="preserve">櫃 </w:t>
      </w:r>
      <w:proofErr w:type="gramStart"/>
      <w:r w:rsidR="00630D4D">
        <w:rPr>
          <w:rFonts w:ascii="新細明體" w:hint="eastAsia"/>
        </w:rPr>
        <w:t>檯</w:t>
      </w:r>
      <w:proofErr w:type="gramEnd"/>
      <w:r w:rsidR="00630D4D">
        <w:rPr>
          <w:rFonts w:ascii="新細明體" w:hint="eastAsia"/>
        </w:rPr>
        <w:t xml:space="preserve"> (其 </w:t>
      </w:r>
      <w:r w:rsidR="00630D4D">
        <w:rPr>
          <w:rFonts w:ascii="新細明體"/>
        </w:rPr>
        <w:t>他</w:t>
      </w:r>
      <w:r w:rsidR="00630D4D">
        <w:rPr>
          <w:rFonts w:ascii="新細明體" w:hint="eastAsia"/>
        </w:rPr>
        <w:t>)</w:t>
      </w:r>
    </w:p>
    <w:p w:rsidR="00B12833" w:rsidRDefault="000E2AC7">
      <w:pPr>
        <w:jc w:val="center"/>
        <w:rPr>
          <w:rFonts w:ascii="新細明體"/>
          <w:spacing w:val="70"/>
        </w:rPr>
      </w:pPr>
      <w:r w:rsidRPr="000E2AC7">
        <w:rPr>
          <w:rFonts w:ascii="新細明體" w:hint="eastAsia"/>
          <w:spacing w:val="70"/>
        </w:rPr>
        <w:t>經營股權性質群眾募資業務查核工作底稿</w:t>
      </w:r>
    </w:p>
    <w:tbl>
      <w:tblPr>
        <w:tblW w:w="16019" w:type="dxa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9"/>
      </w:tblGrid>
      <w:tr w:rsidR="00DF46DB" w:rsidTr="00F87DE6">
        <w:trPr>
          <w:trHeight w:val="3250"/>
        </w:trPr>
        <w:tc>
          <w:tcPr>
            <w:tcW w:w="16019" w:type="dxa"/>
          </w:tcPr>
          <w:p w:rsidR="00DF46DB" w:rsidRDefault="00DF46DB" w:rsidP="004578C3">
            <w:pPr>
              <w:rPr>
                <w:rFonts w:ascii="新細明體"/>
              </w:rPr>
            </w:pPr>
            <w:r w:rsidRPr="00AA364D">
              <w:rPr>
                <w:rFonts w:ascii="新細明體" w:hint="eastAsia"/>
                <w:spacing w:val="79"/>
              </w:rPr>
              <w:t>作業週</w:t>
            </w:r>
            <w:r w:rsidRPr="00AA364D">
              <w:rPr>
                <w:rFonts w:ascii="新細明體" w:hint="eastAsia"/>
                <w:spacing w:val="2"/>
              </w:rPr>
              <w:t>期</w:t>
            </w:r>
            <w:r>
              <w:rPr>
                <w:rFonts w:ascii="新細明體" w:hint="eastAsia"/>
              </w:rPr>
              <w:t xml:space="preserve">：每月至少查核乙次           </w:t>
            </w:r>
            <w:r>
              <w:rPr>
                <w:rFonts w:ascii="新細明體"/>
              </w:rPr>
              <w:t xml:space="preserve">                                       </w:t>
            </w:r>
            <w:r w:rsidR="00C035B2">
              <w:rPr>
                <w:rFonts w:ascii="新細明體"/>
              </w:rPr>
              <w:t xml:space="preserve">         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受查期間： </w:t>
            </w:r>
            <w:r w:rsidRPr="00023459">
              <w:rPr>
                <w:rFonts w:ascii="新細明體" w:hint="eastAsia"/>
              </w:rPr>
              <w:t xml:space="preserve">  年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日至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年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</w:t>
            </w:r>
          </w:p>
          <w:p w:rsidR="00DF46DB" w:rsidRPr="00D2246E" w:rsidRDefault="00DF46DB" w:rsidP="00AD0BE6">
            <w:pPr>
              <w:ind w:left="1680" w:rightChars="-484" w:right="-1162" w:hangingChars="700" w:hanging="1680"/>
              <w:rPr>
                <w:rFonts w:ascii="新細明體"/>
                <w:color w:val="FF0000"/>
                <w:u w:val="single"/>
              </w:rPr>
            </w:pPr>
            <w:r w:rsidRPr="00D2246E">
              <w:rPr>
                <w:rFonts w:ascii="新細明體" w:hint="eastAsia"/>
                <w:color w:val="FF0000"/>
                <w:u w:val="single"/>
              </w:rPr>
              <w:t>選擇樣本標準：受查期間</w:t>
            </w:r>
            <w:r w:rsidR="00D647BA" w:rsidRPr="00D2246E">
              <w:rPr>
                <w:rFonts w:ascii="新細明體" w:hint="eastAsia"/>
                <w:color w:val="FF0000"/>
                <w:u w:val="single"/>
              </w:rPr>
              <w:t>新增之</w:t>
            </w:r>
            <w:r w:rsidR="00DE3268" w:rsidRPr="00D2246E">
              <w:rPr>
                <w:rFonts w:ascii="新細明體" w:hint="eastAsia"/>
                <w:color w:val="FF0000"/>
                <w:u w:val="single"/>
              </w:rPr>
              <w:t>募資案件</w:t>
            </w:r>
            <w:r w:rsidR="00D647BA" w:rsidRPr="00D2246E">
              <w:rPr>
                <w:rFonts w:ascii="新細明體" w:hint="eastAsia"/>
                <w:color w:val="FF0000"/>
                <w:u w:val="single"/>
              </w:rPr>
              <w:t>，其</w:t>
            </w:r>
            <w:r w:rsidR="00DE3268" w:rsidRPr="00D2246E">
              <w:rPr>
                <w:rFonts w:ascii="新細明體" w:hint="eastAsia"/>
                <w:color w:val="FF0000"/>
                <w:u w:val="single"/>
              </w:rPr>
              <w:t>有辦理推</w:t>
            </w:r>
            <w:proofErr w:type="gramStart"/>
            <w:r w:rsidR="00DE3268" w:rsidRPr="00D2246E">
              <w:rPr>
                <w:rFonts w:ascii="新細明體" w:hint="eastAsia"/>
                <w:color w:val="FF0000"/>
                <w:u w:val="single"/>
              </w:rPr>
              <w:t>介</w:t>
            </w:r>
            <w:proofErr w:type="gramEnd"/>
            <w:r w:rsidR="00DE3268" w:rsidRPr="00D2246E">
              <w:rPr>
                <w:rFonts w:ascii="新細明體" w:hint="eastAsia"/>
                <w:color w:val="FF0000"/>
                <w:u w:val="single"/>
              </w:rPr>
              <w:t>作業</w:t>
            </w:r>
            <w:r w:rsidR="00733701" w:rsidRPr="00D2246E">
              <w:rPr>
                <w:rFonts w:ascii="新細明體" w:hint="eastAsia"/>
                <w:color w:val="FF0000"/>
                <w:u w:val="single"/>
              </w:rPr>
              <w:t>及從事廣告及業務招攬活動者</w:t>
            </w:r>
            <w:r w:rsidR="002F39C8" w:rsidRPr="00D2246E">
              <w:rPr>
                <w:rFonts w:ascii="新細明體" w:hint="eastAsia"/>
                <w:color w:val="FF0000"/>
                <w:u w:val="single"/>
              </w:rPr>
              <w:t>，各選取一件執行查核。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80"/>
              <w:gridCol w:w="1350"/>
              <w:gridCol w:w="1221"/>
              <w:gridCol w:w="1301"/>
              <w:gridCol w:w="1245"/>
              <w:gridCol w:w="1435"/>
              <w:gridCol w:w="2628"/>
              <w:gridCol w:w="1134"/>
              <w:gridCol w:w="1593"/>
              <w:gridCol w:w="1667"/>
            </w:tblGrid>
            <w:tr w:rsidR="00F87DE6" w:rsidRPr="00D2246E" w:rsidTr="00F1755D">
              <w:trPr>
                <w:cantSplit/>
                <w:trHeight w:val="802"/>
              </w:trPr>
              <w:tc>
                <w:tcPr>
                  <w:tcW w:w="1380" w:type="dxa"/>
                  <w:vMerge w:val="restart"/>
                  <w:tcBorders>
                    <w:top w:val="single" w:sz="8" w:space="0" w:color="auto"/>
                  </w:tcBorders>
                  <w:textDirection w:val="tbRlV"/>
                  <w:vAlign w:val="center"/>
                </w:tcPr>
                <w:p w:rsidR="00643BEC" w:rsidRPr="00D2246E" w:rsidRDefault="00643BEC" w:rsidP="00FE6E94">
                  <w:pPr>
                    <w:ind w:left="113" w:right="113"/>
                    <w:jc w:val="distribute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案件名稱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bottom w:val="nil"/>
                    <w:tl2br w:val="single" w:sz="6" w:space="0" w:color="auto"/>
                  </w:tcBorders>
                  <w:textDirection w:val="tbRlV"/>
                </w:tcPr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</w:p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  <w:r w:rsidRPr="00CE13FB">
                    <w:rPr>
                      <w:rFonts w:ascii="新細明體" w:hint="eastAsia"/>
                      <w:color w:val="FF0000"/>
                      <w:u w:val="single"/>
                    </w:rPr>
                    <w:t>查核項目</w:t>
                  </w:r>
                </w:p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  <w:r w:rsidRPr="00CE13FB">
                    <w:rPr>
                      <w:rFonts w:ascii="新細明體"/>
                      <w:color w:val="FF0000"/>
                      <w:u w:val="single"/>
                    </w:rPr>
                    <w:t xml:space="preserve">              </w:t>
                  </w:r>
                  <w:r w:rsidRPr="00CE13FB">
                    <w:rPr>
                      <w:rFonts w:ascii="新細明體" w:hint="eastAsia"/>
                      <w:color w:val="FF0000"/>
                      <w:u w:val="single"/>
                    </w:rPr>
                    <w:t>募資案起訖日期</w:t>
                  </w:r>
                </w:p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  <w:r w:rsidRPr="00CE13FB">
                    <w:rPr>
                      <w:rFonts w:ascii="新細明體"/>
                      <w:color w:val="FF0000"/>
                      <w:u w:val="single"/>
                    </w:rPr>
                    <w:t xml:space="preserve">                        </w:t>
                  </w:r>
                </w:p>
              </w:tc>
              <w:tc>
                <w:tcPr>
                  <w:tcW w:w="5202" w:type="dxa"/>
                  <w:gridSpan w:val="4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BEC" w:rsidRPr="00D2246E" w:rsidRDefault="00643BEC" w:rsidP="00353A80">
                  <w:pPr>
                    <w:snapToGrid w:val="0"/>
                    <w:spacing w:line="360" w:lineRule="exact"/>
                    <w:ind w:left="363" w:right="28" w:hanging="238"/>
                    <w:jc w:val="center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推</w:t>
                  </w:r>
                  <w:proofErr w:type="gramStart"/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介</w:t>
                  </w:r>
                  <w:proofErr w:type="gramEnd"/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作業</w:t>
                  </w:r>
                </w:p>
              </w:tc>
              <w:tc>
                <w:tcPr>
                  <w:tcW w:w="5355" w:type="dxa"/>
                  <w:gridSpan w:val="3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3BEC" w:rsidRPr="003214FA" w:rsidRDefault="00643BEC" w:rsidP="003214FA">
                  <w:pPr>
                    <w:snapToGrid w:val="0"/>
                    <w:spacing w:line="280" w:lineRule="exact"/>
                    <w:ind w:left="-28" w:right="-14" w:firstLine="11"/>
                    <w:jc w:val="center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廣告及業務招攬活動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3BEC" w:rsidRDefault="00643BEC" w:rsidP="00E9782C">
                  <w:pPr>
                    <w:ind w:left="113" w:right="113"/>
                    <w:jc w:val="distribute"/>
                    <w:rPr>
                      <w:rFonts w:ascii="新細明體" w:hint="eastAsia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備註</w:t>
                  </w:r>
                </w:p>
                <w:p w:rsidR="00E9782C" w:rsidRPr="00CB02C6" w:rsidRDefault="00E9782C" w:rsidP="00E9782C">
                  <w:pPr>
                    <w:spacing w:line="420" w:lineRule="atLeast"/>
                    <w:ind w:left="57" w:right="57"/>
                    <w:jc w:val="distribute"/>
                    <w:rPr>
                      <w:rFonts w:asciiTheme="minorEastAsia" w:eastAsiaTheme="minorEastAsia" w:hAnsiTheme="minorEastAsia"/>
                      <w:color w:val="FF0000"/>
                      <w:u w:val="single"/>
                    </w:rPr>
                  </w:pPr>
                  <w:r w:rsidRPr="00CB02C6">
                    <w:rPr>
                      <w:rFonts w:asciiTheme="minorEastAsia" w:eastAsiaTheme="minorEastAsia" w:hAnsiTheme="minorEastAsia"/>
                      <w:color w:val="FF0000"/>
                      <w:u w:val="single"/>
                    </w:rPr>
                    <w:t>(</w:t>
                  </w:r>
                  <w:r w:rsidRPr="00CB02C6">
                    <w:rPr>
                      <w:rFonts w:asciiTheme="minorEastAsia" w:eastAsiaTheme="minorEastAsia" w:hAnsiTheme="minorEastAsia" w:cs="標楷體" w:hint="eastAsia"/>
                      <w:color w:val="FF0000"/>
                      <w:u w:val="single"/>
                    </w:rPr>
                    <w:t>缺失補正</w:t>
                  </w:r>
                </w:p>
                <w:p w:rsidR="00E9782C" w:rsidRPr="00D2246E" w:rsidRDefault="00E9782C" w:rsidP="00E9782C">
                  <w:pPr>
                    <w:ind w:left="113" w:right="113"/>
                    <w:jc w:val="distribute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proofErr w:type="gramStart"/>
                  <w:r w:rsidRPr="00CB02C6">
                    <w:rPr>
                      <w:rFonts w:asciiTheme="minorEastAsia" w:eastAsiaTheme="minorEastAsia" w:hAnsiTheme="minorEastAsia" w:cs="標楷體" w:hint="eastAsia"/>
                      <w:color w:val="FF0000"/>
                      <w:u w:val="single"/>
                    </w:rPr>
                    <w:t>或敘明</w:t>
                  </w:r>
                  <w:proofErr w:type="gramEnd"/>
                  <w:r w:rsidRPr="00CB02C6">
                    <w:rPr>
                      <w:rFonts w:asciiTheme="minorEastAsia" w:eastAsiaTheme="minorEastAsia" w:hAnsiTheme="minorEastAsia" w:cs="標楷體" w:hint="eastAsia"/>
                      <w:color w:val="FF0000"/>
                      <w:u w:val="single"/>
                    </w:rPr>
                    <w:t>事項</w:t>
                  </w:r>
                  <w:r w:rsidRPr="00CB02C6">
                    <w:rPr>
                      <w:rFonts w:asciiTheme="minorEastAsia" w:eastAsiaTheme="minorEastAsia" w:hAnsiTheme="minorEastAsia"/>
                      <w:color w:val="FF0000"/>
                      <w:u w:val="single"/>
                    </w:rPr>
                    <w:t>)</w:t>
                  </w:r>
                </w:p>
              </w:tc>
            </w:tr>
            <w:tr w:rsidR="008A64C7" w:rsidRPr="00D2246E" w:rsidTr="00F1755D">
              <w:trPr>
                <w:cantSplit/>
                <w:trHeight w:val="3617"/>
              </w:trPr>
              <w:tc>
                <w:tcPr>
                  <w:tcW w:w="1380" w:type="dxa"/>
                  <w:vMerge/>
                  <w:textDirection w:val="tbRlV"/>
                  <w:vAlign w:val="center"/>
                </w:tcPr>
                <w:p w:rsidR="008A64C7" w:rsidRPr="00D2246E" w:rsidRDefault="008A64C7" w:rsidP="006210F5">
                  <w:pPr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8" w:space="0" w:color="auto"/>
                    <w:bottom w:val="nil"/>
                    <w:tl2br w:val="single" w:sz="6" w:space="0" w:color="auto"/>
                  </w:tcBorders>
                  <w:textDirection w:val="tbRlV"/>
                </w:tcPr>
                <w:p w:rsidR="008A64C7" w:rsidRPr="00CE13FB" w:rsidRDefault="008A64C7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Pr="00D2246E" w:rsidRDefault="008A64C7" w:rsidP="009B2AB5">
                  <w:pPr>
                    <w:snapToGrid w:val="0"/>
                    <w:spacing w:line="280" w:lineRule="exact"/>
                    <w:ind w:leftChars="82" w:left="197" w:rightChars="-17" w:right="-41"/>
                    <w:jc w:val="both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推</w:t>
                  </w:r>
                  <w:proofErr w:type="gramStart"/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介</w:t>
                  </w:r>
                  <w:proofErr w:type="gramEnd"/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作業</w:t>
                  </w:r>
                </w:p>
                <w:p w:rsidR="008A64C7" w:rsidRPr="00D2246E" w:rsidRDefault="008A64C7" w:rsidP="009B2AB5">
                  <w:pPr>
                    <w:snapToGrid w:val="0"/>
                    <w:spacing w:line="280" w:lineRule="exact"/>
                    <w:ind w:leftChars="82" w:left="197" w:rightChars="-17" w:right="-41"/>
                    <w:jc w:val="both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是否僅向天使投資人辦理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員相關利益衝突</w:t>
                  </w:r>
                </w:p>
                <w:p w:rsidR="008A64C7" w:rsidRPr="00F1636D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是否揭露公司、研究報告撰寫人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准才執行推</w:t>
                  </w:r>
                  <w:proofErr w:type="gramStart"/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介</w:t>
                  </w:r>
                  <w:proofErr w:type="gramEnd"/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研究報告是否經公司權責主管核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Pr="005E3E6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於營業處所</w:t>
                  </w:r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推</w:t>
                  </w:r>
                  <w:proofErr w:type="gramStart"/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介</w:t>
                  </w:r>
                  <w:proofErr w:type="gramEnd"/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資料是否留存紀錄，並置放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定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業促銷活動管理辦法</w:t>
                  </w:r>
                  <w:r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>」</w:t>
                  </w:r>
                  <w:r>
                    <w:rPr>
                      <w:rFonts w:ascii="新細明體" w:hint="eastAsia"/>
                      <w:color w:val="FF0000"/>
                      <w:u w:val="single"/>
                    </w:rPr>
                    <w:t>之相關</w:t>
                  </w:r>
                  <w:proofErr w:type="gramStart"/>
                  <w:r>
                    <w:rPr>
                      <w:rFonts w:ascii="新細明體" w:hint="eastAsia"/>
                      <w:color w:val="FF0000"/>
                      <w:u w:val="single"/>
                    </w:rPr>
                    <w:t>規</w:t>
                  </w:r>
                  <w:proofErr w:type="gramEnd"/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>「</w:t>
                  </w:r>
                  <w:r>
                    <w:rPr>
                      <w:rFonts w:ascii="新細明體" w:hint="eastAsia"/>
                      <w:color w:val="FF0000"/>
                      <w:u w:val="single"/>
                    </w:rPr>
                    <w:t>會員從事廣告、業務招攬及營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法及中華民國證券商業同業公會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業務招攬及營業促銷活動管理辦</w:t>
                  </w:r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是否符合</w:t>
                  </w:r>
                  <w:r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>「</w:t>
                  </w:r>
                  <w:r>
                    <w:rPr>
                      <w:rFonts w:ascii="新細明體" w:hint="eastAsia"/>
                      <w:color w:val="FF0000"/>
                      <w:u w:val="single"/>
                    </w:rPr>
                    <w:t>金融服務業從事廣告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值、財務或業務等資訊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活動內容是否未涉及預測公司價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2E3883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否全程錄音錄影且至少保存</w:t>
                  </w:r>
                  <w:r w:rsidR="00F1755D">
                    <w:rPr>
                      <w:rFonts w:ascii="新細明體" w:hint="eastAsia"/>
                      <w:color w:val="FF0000"/>
                      <w:u w:val="single"/>
                    </w:rPr>
                    <w:t>五年</w:t>
                  </w:r>
                </w:p>
                <w:p w:rsidR="002E3883" w:rsidRDefault="002E3883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會、現場展示會等公開活動，是</w:t>
                  </w:r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舉辦現場講習會、座談會、說明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 w:rsidR="00F87DE6" w:rsidRPr="00023459" w:rsidTr="00F1755D">
              <w:trPr>
                <w:cantSplit/>
                <w:trHeight w:val="779"/>
              </w:trPr>
              <w:tc>
                <w:tcPr>
                  <w:tcW w:w="1380" w:type="dxa"/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87DE6" w:rsidRPr="00CE13FB" w:rsidRDefault="00F87DE6" w:rsidP="006210F5">
                  <w:pPr>
                    <w:jc w:val="center"/>
                    <w:rPr>
                      <w:rFonts w:ascii="新細明體"/>
                      <w:color w:val="FF0000"/>
                    </w:rPr>
                  </w:pPr>
                  <w:r w:rsidRPr="00CE13FB">
                    <w:rPr>
                      <w:rFonts w:ascii="新細明體" w:hint="eastAsia"/>
                      <w:color w:val="FF0000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6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7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</w:tr>
            <w:tr w:rsidR="00F87DE6" w:rsidRPr="00023459" w:rsidTr="00F1755D">
              <w:trPr>
                <w:cantSplit/>
                <w:trHeight w:val="832"/>
              </w:trPr>
              <w:tc>
                <w:tcPr>
                  <w:tcW w:w="1380" w:type="dxa"/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87DE6" w:rsidRPr="00CE13FB" w:rsidRDefault="00F87DE6" w:rsidP="006210F5">
                  <w:pPr>
                    <w:jc w:val="center"/>
                    <w:rPr>
                      <w:rFonts w:ascii="新細明體"/>
                      <w:color w:val="FF0000"/>
                    </w:rPr>
                  </w:pPr>
                  <w:r w:rsidRPr="00CE13FB">
                    <w:rPr>
                      <w:rFonts w:ascii="新細明體" w:hint="eastAsia"/>
                      <w:color w:val="FF0000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6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7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</w:tr>
            <w:tr w:rsidR="00F87DE6" w:rsidRPr="00023459" w:rsidTr="00F1755D">
              <w:trPr>
                <w:cantSplit/>
                <w:trHeight w:val="845"/>
              </w:trPr>
              <w:tc>
                <w:tcPr>
                  <w:tcW w:w="1380" w:type="dxa"/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87DE6" w:rsidRPr="00CE13FB" w:rsidRDefault="00F87DE6" w:rsidP="006210F5">
                  <w:pPr>
                    <w:jc w:val="center"/>
                    <w:rPr>
                      <w:rFonts w:ascii="新細明體"/>
                      <w:color w:val="FF0000"/>
                    </w:rPr>
                  </w:pPr>
                  <w:r w:rsidRPr="00CE13FB">
                    <w:rPr>
                      <w:rFonts w:ascii="新細明體" w:hint="eastAsia"/>
                      <w:color w:val="FF0000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6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7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</w:tr>
          </w:tbl>
          <w:p w:rsidR="00DF46DB" w:rsidRPr="00A174AB" w:rsidRDefault="00DF46DB" w:rsidP="00AD0BE6">
            <w:pPr>
              <w:ind w:left="1680" w:rightChars="-484" w:right="-1162" w:hangingChars="700" w:hanging="1680"/>
              <w:rPr>
                <w:rFonts w:ascii="新細明體"/>
              </w:rPr>
            </w:pPr>
          </w:p>
        </w:tc>
      </w:tr>
    </w:tbl>
    <w:p w:rsidR="00B12833" w:rsidRDefault="00B12833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符號說明：</w:t>
      </w:r>
      <w:r>
        <w:rPr>
          <w:rFonts w:ascii="新細明體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是：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C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否：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B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不適用：－</w:t>
      </w:r>
    </w:p>
    <w:p w:rsidR="00F80B6A" w:rsidRDefault="00F80B6A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稽核人員：</w:t>
      </w:r>
    </w:p>
    <w:p w:rsidR="004F21D8" w:rsidRPr="00785F35" w:rsidRDefault="00F80B6A" w:rsidP="00337465">
      <w:pPr>
        <w:tabs>
          <w:tab w:val="left" w:pos="12840"/>
        </w:tabs>
        <w:spacing w:line="300" w:lineRule="exact"/>
        <w:rPr>
          <w:rFonts w:ascii="新細明體"/>
          <w:sz w:val="16"/>
        </w:rPr>
      </w:pPr>
      <w:r>
        <w:rPr>
          <w:rFonts w:ascii="新細明體" w:hint="eastAsia"/>
        </w:rPr>
        <w:t>查核日期：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年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月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日</w:t>
      </w:r>
      <w:r>
        <w:rPr>
          <w:rFonts w:ascii="新細明體"/>
        </w:rPr>
        <w:tab/>
      </w:r>
      <w:r>
        <w:rPr>
          <w:rFonts w:ascii="新細明體" w:hint="eastAsia"/>
        </w:rPr>
        <w:t>底稿編號：</w:t>
      </w:r>
      <w:r>
        <w:rPr>
          <w:rFonts w:ascii="新細明體" w:hint="eastAsia"/>
          <w:u w:val="single"/>
        </w:rPr>
        <w:t xml:space="preserve">　　　　　　　　</w:t>
      </w:r>
    </w:p>
    <w:sectPr w:rsidR="004F21D8" w:rsidRPr="00785F35" w:rsidSect="00797593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E2" w:rsidRDefault="003616E2" w:rsidP="006B1325">
      <w:pPr>
        <w:spacing w:line="240" w:lineRule="auto"/>
      </w:pPr>
      <w:r>
        <w:separator/>
      </w:r>
    </w:p>
  </w:endnote>
  <w:endnote w:type="continuationSeparator" w:id="0">
    <w:p w:rsidR="003616E2" w:rsidRDefault="003616E2" w:rsidP="006B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E2" w:rsidRDefault="003616E2" w:rsidP="006B1325">
      <w:pPr>
        <w:spacing w:line="240" w:lineRule="auto"/>
      </w:pPr>
      <w:r>
        <w:separator/>
      </w:r>
    </w:p>
  </w:footnote>
  <w:footnote w:type="continuationSeparator" w:id="0">
    <w:p w:rsidR="003616E2" w:rsidRDefault="003616E2" w:rsidP="006B1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D"/>
    <w:rsid w:val="000028EC"/>
    <w:rsid w:val="000164D6"/>
    <w:rsid w:val="000A3E47"/>
    <w:rsid w:val="000B2A0F"/>
    <w:rsid w:val="000B7A11"/>
    <w:rsid w:val="000C0812"/>
    <w:rsid w:val="000D6318"/>
    <w:rsid w:val="000E2AC7"/>
    <w:rsid w:val="000E2FE3"/>
    <w:rsid w:val="000F5BB2"/>
    <w:rsid w:val="001507DA"/>
    <w:rsid w:val="0015624A"/>
    <w:rsid w:val="00165BA9"/>
    <w:rsid w:val="00187223"/>
    <w:rsid w:val="001A322C"/>
    <w:rsid w:val="001D7EBD"/>
    <w:rsid w:val="00210EC7"/>
    <w:rsid w:val="00241574"/>
    <w:rsid w:val="00245166"/>
    <w:rsid w:val="00251247"/>
    <w:rsid w:val="00292DE3"/>
    <w:rsid w:val="002A0A5B"/>
    <w:rsid w:val="002C43D4"/>
    <w:rsid w:val="002E3883"/>
    <w:rsid w:val="002F39C8"/>
    <w:rsid w:val="00304C4D"/>
    <w:rsid w:val="0030505C"/>
    <w:rsid w:val="003059C1"/>
    <w:rsid w:val="003214FA"/>
    <w:rsid w:val="00325E25"/>
    <w:rsid w:val="00337465"/>
    <w:rsid w:val="003418C5"/>
    <w:rsid w:val="00353A80"/>
    <w:rsid w:val="00360D7C"/>
    <w:rsid w:val="003616E2"/>
    <w:rsid w:val="00361965"/>
    <w:rsid w:val="00375133"/>
    <w:rsid w:val="00380767"/>
    <w:rsid w:val="00382F23"/>
    <w:rsid w:val="00395CD4"/>
    <w:rsid w:val="003C681F"/>
    <w:rsid w:val="003D0B51"/>
    <w:rsid w:val="003D6B5E"/>
    <w:rsid w:val="004208D7"/>
    <w:rsid w:val="0043595D"/>
    <w:rsid w:val="004408CD"/>
    <w:rsid w:val="00441AD3"/>
    <w:rsid w:val="0044712C"/>
    <w:rsid w:val="004578C3"/>
    <w:rsid w:val="00461867"/>
    <w:rsid w:val="00462560"/>
    <w:rsid w:val="0047743F"/>
    <w:rsid w:val="00496DA4"/>
    <w:rsid w:val="004D00A6"/>
    <w:rsid w:val="004D0DCA"/>
    <w:rsid w:val="004E7424"/>
    <w:rsid w:val="004F21D8"/>
    <w:rsid w:val="00516072"/>
    <w:rsid w:val="00523059"/>
    <w:rsid w:val="00530444"/>
    <w:rsid w:val="00562054"/>
    <w:rsid w:val="00575BD2"/>
    <w:rsid w:val="00585469"/>
    <w:rsid w:val="00595C0A"/>
    <w:rsid w:val="005A4662"/>
    <w:rsid w:val="005D04A7"/>
    <w:rsid w:val="005E3E67"/>
    <w:rsid w:val="005F2585"/>
    <w:rsid w:val="006143FC"/>
    <w:rsid w:val="00624F78"/>
    <w:rsid w:val="00630D4D"/>
    <w:rsid w:val="00643BEC"/>
    <w:rsid w:val="00647364"/>
    <w:rsid w:val="00680E0C"/>
    <w:rsid w:val="006B0D91"/>
    <w:rsid w:val="006B1325"/>
    <w:rsid w:val="006C376F"/>
    <w:rsid w:val="006C393A"/>
    <w:rsid w:val="006C7D32"/>
    <w:rsid w:val="00712CE9"/>
    <w:rsid w:val="0072567E"/>
    <w:rsid w:val="0073227C"/>
    <w:rsid w:val="00733701"/>
    <w:rsid w:val="00733725"/>
    <w:rsid w:val="00740CFE"/>
    <w:rsid w:val="00746D6A"/>
    <w:rsid w:val="00750339"/>
    <w:rsid w:val="00760BB5"/>
    <w:rsid w:val="0076296B"/>
    <w:rsid w:val="007655C4"/>
    <w:rsid w:val="00785F35"/>
    <w:rsid w:val="00797593"/>
    <w:rsid w:val="007C4E5B"/>
    <w:rsid w:val="007D1B94"/>
    <w:rsid w:val="007F4785"/>
    <w:rsid w:val="00815F45"/>
    <w:rsid w:val="00860F0E"/>
    <w:rsid w:val="00867640"/>
    <w:rsid w:val="00877FDA"/>
    <w:rsid w:val="008A0BEC"/>
    <w:rsid w:val="008A64C7"/>
    <w:rsid w:val="008D0EDC"/>
    <w:rsid w:val="008D61EC"/>
    <w:rsid w:val="008F225E"/>
    <w:rsid w:val="00933D70"/>
    <w:rsid w:val="0095614E"/>
    <w:rsid w:val="009746E0"/>
    <w:rsid w:val="0098507F"/>
    <w:rsid w:val="0099258D"/>
    <w:rsid w:val="0099512F"/>
    <w:rsid w:val="009A4B6A"/>
    <w:rsid w:val="009B2204"/>
    <w:rsid w:val="009B2AB5"/>
    <w:rsid w:val="009B58E7"/>
    <w:rsid w:val="009C5169"/>
    <w:rsid w:val="009D132F"/>
    <w:rsid w:val="009F3DEC"/>
    <w:rsid w:val="00A174AB"/>
    <w:rsid w:val="00A22532"/>
    <w:rsid w:val="00A245AA"/>
    <w:rsid w:val="00A32BB9"/>
    <w:rsid w:val="00A465F0"/>
    <w:rsid w:val="00A56F93"/>
    <w:rsid w:val="00A620F2"/>
    <w:rsid w:val="00A92575"/>
    <w:rsid w:val="00AA3621"/>
    <w:rsid w:val="00AA364D"/>
    <w:rsid w:val="00AB123A"/>
    <w:rsid w:val="00AD0BE6"/>
    <w:rsid w:val="00B03B47"/>
    <w:rsid w:val="00B053DF"/>
    <w:rsid w:val="00B05A29"/>
    <w:rsid w:val="00B12833"/>
    <w:rsid w:val="00B26D84"/>
    <w:rsid w:val="00B51DEC"/>
    <w:rsid w:val="00B9672C"/>
    <w:rsid w:val="00BA2964"/>
    <w:rsid w:val="00BC4D26"/>
    <w:rsid w:val="00BC72C9"/>
    <w:rsid w:val="00BE3A1C"/>
    <w:rsid w:val="00C035B2"/>
    <w:rsid w:val="00C11067"/>
    <w:rsid w:val="00C11F46"/>
    <w:rsid w:val="00C2014D"/>
    <w:rsid w:val="00C37CF1"/>
    <w:rsid w:val="00C6607A"/>
    <w:rsid w:val="00C769A9"/>
    <w:rsid w:val="00CA6E3D"/>
    <w:rsid w:val="00CA6F4B"/>
    <w:rsid w:val="00CE13FB"/>
    <w:rsid w:val="00CE4FA3"/>
    <w:rsid w:val="00CE6736"/>
    <w:rsid w:val="00CF1E2D"/>
    <w:rsid w:val="00CF210F"/>
    <w:rsid w:val="00CF2A15"/>
    <w:rsid w:val="00D2246E"/>
    <w:rsid w:val="00D24343"/>
    <w:rsid w:val="00D6077C"/>
    <w:rsid w:val="00D647BA"/>
    <w:rsid w:val="00D80535"/>
    <w:rsid w:val="00DB19C7"/>
    <w:rsid w:val="00DC738B"/>
    <w:rsid w:val="00DE3268"/>
    <w:rsid w:val="00DE545F"/>
    <w:rsid w:val="00DF0259"/>
    <w:rsid w:val="00DF3CA6"/>
    <w:rsid w:val="00DF46DB"/>
    <w:rsid w:val="00DF48D0"/>
    <w:rsid w:val="00E061D1"/>
    <w:rsid w:val="00E1381D"/>
    <w:rsid w:val="00E60A4E"/>
    <w:rsid w:val="00E6347C"/>
    <w:rsid w:val="00E646C6"/>
    <w:rsid w:val="00E702DD"/>
    <w:rsid w:val="00E80D51"/>
    <w:rsid w:val="00E82054"/>
    <w:rsid w:val="00E900D9"/>
    <w:rsid w:val="00E93E48"/>
    <w:rsid w:val="00E94D79"/>
    <w:rsid w:val="00E9782C"/>
    <w:rsid w:val="00EA0B5F"/>
    <w:rsid w:val="00ED1FCB"/>
    <w:rsid w:val="00ED7CF3"/>
    <w:rsid w:val="00EE79A5"/>
    <w:rsid w:val="00F03472"/>
    <w:rsid w:val="00F1636D"/>
    <w:rsid w:val="00F1755D"/>
    <w:rsid w:val="00F25A3D"/>
    <w:rsid w:val="00F26F0B"/>
    <w:rsid w:val="00F34F96"/>
    <w:rsid w:val="00F41676"/>
    <w:rsid w:val="00F80B6A"/>
    <w:rsid w:val="00F81531"/>
    <w:rsid w:val="00F85ACB"/>
    <w:rsid w:val="00F87DE6"/>
    <w:rsid w:val="00F9140A"/>
    <w:rsid w:val="00FB413E"/>
    <w:rsid w:val="00FD1A30"/>
    <w:rsid w:val="00FE6E94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9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69"/>
    <w:pPr>
      <w:spacing w:line="240" w:lineRule="auto"/>
      <w:jc w:val="both"/>
    </w:pPr>
    <w:rPr>
      <w:rFonts w:ascii="新細明體"/>
    </w:rPr>
  </w:style>
  <w:style w:type="character" w:customStyle="1" w:styleId="a4">
    <w:name w:val="本文 字元"/>
    <w:basedOn w:val="a0"/>
    <w:link w:val="a3"/>
    <w:uiPriority w:val="99"/>
    <w:semiHidden/>
    <w:rsid w:val="00585469"/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B1325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B1325"/>
    <w:rPr>
      <w:kern w:val="0"/>
      <w:sz w:val="20"/>
      <w:szCs w:val="20"/>
    </w:rPr>
  </w:style>
  <w:style w:type="table" w:styleId="a9">
    <w:name w:val="Table Grid"/>
    <w:basedOn w:val="a1"/>
    <w:uiPriority w:val="59"/>
    <w:rsid w:val="00A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B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035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5B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93E48"/>
    <w:pPr>
      <w:jc w:val="center"/>
    </w:pPr>
    <w:rPr>
      <w:rFonts w:ascii="新細明體"/>
      <w:sz w:val="16"/>
      <w:szCs w:val="16"/>
    </w:rPr>
  </w:style>
  <w:style w:type="character" w:customStyle="1" w:styleId="ae">
    <w:name w:val="註釋標題 字元"/>
    <w:basedOn w:val="a0"/>
    <w:link w:val="ad"/>
    <w:uiPriority w:val="99"/>
    <w:rsid w:val="00E93E48"/>
    <w:rPr>
      <w:rFonts w:ascii="新細明體"/>
      <w:kern w:val="0"/>
      <w:sz w:val="16"/>
      <w:szCs w:val="16"/>
    </w:rPr>
  </w:style>
  <w:style w:type="paragraph" w:styleId="af">
    <w:name w:val="Closing"/>
    <w:basedOn w:val="a"/>
    <w:link w:val="af0"/>
    <w:uiPriority w:val="99"/>
    <w:unhideWhenUsed/>
    <w:rsid w:val="00E93E48"/>
    <w:pPr>
      <w:ind w:leftChars="1800" w:left="100"/>
    </w:pPr>
    <w:rPr>
      <w:rFonts w:ascii="新細明體"/>
      <w:sz w:val="16"/>
      <w:szCs w:val="16"/>
    </w:rPr>
  </w:style>
  <w:style w:type="character" w:customStyle="1" w:styleId="af0">
    <w:name w:val="結語 字元"/>
    <w:basedOn w:val="a0"/>
    <w:link w:val="af"/>
    <w:uiPriority w:val="99"/>
    <w:rsid w:val="00E93E48"/>
    <w:rPr>
      <w:rFonts w:ascii="新細明體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9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69"/>
    <w:pPr>
      <w:spacing w:line="240" w:lineRule="auto"/>
      <w:jc w:val="both"/>
    </w:pPr>
    <w:rPr>
      <w:rFonts w:ascii="新細明體"/>
    </w:rPr>
  </w:style>
  <w:style w:type="character" w:customStyle="1" w:styleId="a4">
    <w:name w:val="本文 字元"/>
    <w:basedOn w:val="a0"/>
    <w:link w:val="a3"/>
    <w:uiPriority w:val="99"/>
    <w:semiHidden/>
    <w:rsid w:val="00585469"/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B1325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B1325"/>
    <w:rPr>
      <w:kern w:val="0"/>
      <w:sz w:val="20"/>
      <w:szCs w:val="20"/>
    </w:rPr>
  </w:style>
  <w:style w:type="table" w:styleId="a9">
    <w:name w:val="Table Grid"/>
    <w:basedOn w:val="a1"/>
    <w:uiPriority w:val="59"/>
    <w:rsid w:val="00A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B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035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5B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93E48"/>
    <w:pPr>
      <w:jc w:val="center"/>
    </w:pPr>
    <w:rPr>
      <w:rFonts w:ascii="新細明體"/>
      <w:sz w:val="16"/>
      <w:szCs w:val="16"/>
    </w:rPr>
  </w:style>
  <w:style w:type="character" w:customStyle="1" w:styleId="ae">
    <w:name w:val="註釋標題 字元"/>
    <w:basedOn w:val="a0"/>
    <w:link w:val="ad"/>
    <w:uiPriority w:val="99"/>
    <w:rsid w:val="00E93E48"/>
    <w:rPr>
      <w:rFonts w:ascii="新細明體"/>
      <w:kern w:val="0"/>
      <w:sz w:val="16"/>
      <w:szCs w:val="16"/>
    </w:rPr>
  </w:style>
  <w:style w:type="paragraph" w:styleId="af">
    <w:name w:val="Closing"/>
    <w:basedOn w:val="a"/>
    <w:link w:val="af0"/>
    <w:uiPriority w:val="99"/>
    <w:unhideWhenUsed/>
    <w:rsid w:val="00E93E48"/>
    <w:pPr>
      <w:ind w:leftChars="1800" w:left="100"/>
    </w:pPr>
    <w:rPr>
      <w:rFonts w:ascii="新細明體"/>
      <w:sz w:val="16"/>
      <w:szCs w:val="16"/>
    </w:rPr>
  </w:style>
  <w:style w:type="character" w:customStyle="1" w:styleId="af0">
    <w:name w:val="結語 字元"/>
    <w:basedOn w:val="a0"/>
    <w:link w:val="af"/>
    <w:uiPriority w:val="99"/>
    <w:rsid w:val="00E93E48"/>
    <w:rPr>
      <w:rFonts w:ascii="新細明體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C0F8-F6BE-4AA5-9DFA-6084A8FF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業務及收入循環：櫃檯買賣自營債券</dc:title>
  <dc:creator>稽核室</dc:creator>
  <cp:lastModifiedBy>林雅儒</cp:lastModifiedBy>
  <cp:revision>40</cp:revision>
  <cp:lastPrinted>2015-01-23T08:32:00Z</cp:lastPrinted>
  <dcterms:created xsi:type="dcterms:W3CDTF">2015-01-23T06:14:00Z</dcterms:created>
  <dcterms:modified xsi:type="dcterms:W3CDTF">2016-03-30T01:35:00Z</dcterms:modified>
</cp:coreProperties>
</file>