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C5" w:rsidRPr="00751517" w:rsidRDefault="009753C5" w:rsidP="009753C5">
      <w:pPr>
        <w:pStyle w:val="1"/>
      </w:pPr>
      <w:bookmarkStart w:id="0" w:name="_Toc292591379"/>
      <w:r w:rsidRPr="006336CE">
        <w:rPr>
          <w:rFonts w:hint="eastAsia"/>
          <w:spacing w:val="1"/>
          <w:w w:val="82"/>
        </w:rPr>
        <w:t>六、財</w:t>
      </w:r>
      <w:r w:rsidRPr="006336CE">
        <w:rPr>
          <w:spacing w:val="1"/>
          <w:w w:val="82"/>
        </w:rPr>
        <w:t>團法人中華民國證券櫃檯買賣中心認購（售）權證買賣辦法</w:t>
      </w:r>
      <w:r w:rsidRPr="006336CE">
        <w:rPr>
          <w:rFonts w:hint="eastAsia"/>
          <w:spacing w:val="1"/>
          <w:w w:val="82"/>
        </w:rPr>
        <w:t>第九條</w:t>
      </w:r>
      <w:r w:rsidRPr="006336CE">
        <w:rPr>
          <w:rFonts w:cs="Arial" w:hint="eastAsia"/>
          <w:spacing w:val="1"/>
          <w:w w:val="82"/>
        </w:rPr>
        <w:t>修正條文對照</w:t>
      </w:r>
      <w:r w:rsidRPr="006336CE">
        <w:rPr>
          <w:rFonts w:cs="Arial" w:hint="eastAsia"/>
          <w:spacing w:val="-3"/>
          <w:w w:val="82"/>
        </w:rPr>
        <w:t>表</w:t>
      </w:r>
      <w:bookmarkEnd w:id="0"/>
    </w:p>
    <w:tbl>
      <w:tblPr>
        <w:tblW w:w="10319"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39"/>
        <w:gridCol w:w="3440"/>
        <w:gridCol w:w="3440"/>
      </w:tblGrid>
      <w:tr w:rsidR="009753C5" w:rsidRPr="00751517" w:rsidTr="007416FD">
        <w:trPr>
          <w:tblHeader/>
          <w:jc w:val="center"/>
        </w:trPr>
        <w:tc>
          <w:tcPr>
            <w:tcW w:w="3439" w:type="dxa"/>
            <w:tcBorders>
              <w:top w:val="single" w:sz="12" w:space="0" w:color="auto"/>
              <w:bottom w:val="double" w:sz="4" w:space="0" w:color="auto"/>
            </w:tcBorders>
            <w:vAlign w:val="center"/>
          </w:tcPr>
          <w:p w:rsidR="009753C5" w:rsidRPr="00751517" w:rsidRDefault="009753C5" w:rsidP="007416FD">
            <w:pPr>
              <w:widowControl/>
              <w:jc w:val="center"/>
              <w:rPr>
                <w:rFonts w:ascii="Times New Roman" w:eastAsia="標楷體" w:hAnsi="Times New Roman" w:cs="新細明體"/>
                <w:bCs/>
                <w:kern w:val="0"/>
                <w:szCs w:val="24"/>
              </w:rPr>
            </w:pPr>
            <w:r w:rsidRPr="00751517">
              <w:rPr>
                <w:rFonts w:ascii="Times New Roman" w:eastAsia="標楷體" w:hAnsi="Times New Roman" w:cs="新細明體" w:hint="eastAsia"/>
                <w:bCs/>
                <w:kern w:val="0"/>
                <w:szCs w:val="24"/>
              </w:rPr>
              <w:t>修正條文</w:t>
            </w:r>
          </w:p>
        </w:tc>
        <w:tc>
          <w:tcPr>
            <w:tcW w:w="3440" w:type="dxa"/>
            <w:tcBorders>
              <w:top w:val="single" w:sz="12" w:space="0" w:color="auto"/>
              <w:bottom w:val="double" w:sz="4" w:space="0" w:color="auto"/>
            </w:tcBorders>
            <w:vAlign w:val="center"/>
          </w:tcPr>
          <w:p w:rsidR="009753C5" w:rsidRPr="00751517" w:rsidRDefault="009753C5" w:rsidP="007416FD">
            <w:pPr>
              <w:widowControl/>
              <w:jc w:val="center"/>
              <w:rPr>
                <w:rFonts w:ascii="Times New Roman" w:eastAsia="標楷體" w:hAnsi="Times New Roman" w:cs="新細明體" w:hint="eastAsia"/>
                <w:bCs/>
                <w:kern w:val="0"/>
                <w:szCs w:val="24"/>
              </w:rPr>
            </w:pPr>
            <w:r w:rsidRPr="00751517">
              <w:rPr>
                <w:rFonts w:ascii="Times New Roman" w:eastAsia="標楷體" w:hAnsi="Times New Roman" w:hint="eastAsia"/>
                <w:bCs/>
                <w:szCs w:val="24"/>
              </w:rPr>
              <w:t>現行條文</w:t>
            </w:r>
          </w:p>
        </w:tc>
        <w:tc>
          <w:tcPr>
            <w:tcW w:w="3440" w:type="dxa"/>
            <w:tcBorders>
              <w:top w:val="single" w:sz="12" w:space="0" w:color="auto"/>
              <w:bottom w:val="double" w:sz="4" w:space="0" w:color="auto"/>
            </w:tcBorders>
          </w:tcPr>
          <w:p w:rsidR="009753C5" w:rsidRPr="00751517" w:rsidRDefault="009753C5" w:rsidP="007416FD">
            <w:pPr>
              <w:widowControl/>
              <w:jc w:val="center"/>
              <w:rPr>
                <w:rFonts w:ascii="Times New Roman" w:eastAsia="標楷體" w:hAnsi="Times New Roman" w:cs="新細明體"/>
                <w:bCs/>
                <w:kern w:val="0"/>
              </w:rPr>
            </w:pPr>
            <w:r w:rsidRPr="00751517">
              <w:rPr>
                <w:rFonts w:ascii="Times New Roman" w:eastAsia="標楷體" w:hAnsi="Times New Roman" w:cs="新細明體" w:hint="eastAsia"/>
                <w:bCs/>
                <w:kern w:val="0"/>
              </w:rPr>
              <w:t>說明</w:t>
            </w:r>
          </w:p>
        </w:tc>
      </w:tr>
      <w:tr w:rsidR="009753C5" w:rsidRPr="00751517" w:rsidTr="007416FD">
        <w:trPr>
          <w:jc w:val="center"/>
        </w:trPr>
        <w:tc>
          <w:tcPr>
            <w:tcW w:w="3439" w:type="dxa"/>
          </w:tcPr>
          <w:p w:rsidR="009753C5" w:rsidRPr="00751517" w:rsidRDefault="009753C5" w:rsidP="00741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0" w:hangingChars="100" w:hanging="240"/>
              <w:jc w:val="both"/>
              <w:rPr>
                <w:rFonts w:ascii="標楷體" w:eastAsia="標楷體" w:hAnsi="標楷體" w:cs="細明體"/>
                <w:color w:val="auto"/>
                <w:sz w:val="24"/>
                <w:szCs w:val="24"/>
              </w:rPr>
            </w:pPr>
            <w:r w:rsidRPr="00751517">
              <w:rPr>
                <w:rFonts w:ascii="標楷體" w:eastAsia="標楷體" w:hAnsi="標楷體" w:cs="標楷體" w:hint="eastAsia"/>
                <w:color w:val="auto"/>
                <w:sz w:val="24"/>
                <w:szCs w:val="24"/>
              </w:rPr>
              <w:t xml:space="preserve">第九條　</w:t>
            </w:r>
            <w:r w:rsidRPr="00751517">
              <w:rPr>
                <w:rFonts w:ascii="標楷體" w:eastAsia="標楷體" w:hAnsi="標楷體" w:cs="細明體"/>
                <w:color w:val="auto"/>
                <w:sz w:val="24"/>
                <w:szCs w:val="24"/>
              </w:rPr>
              <w:t>櫃檯買賣上櫃認購（售）權證應透過本中心等價成交系統以經紀或自營方式為之。</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cs="細明體"/>
                <w:color w:val="auto"/>
                <w:sz w:val="24"/>
                <w:szCs w:val="24"/>
              </w:rPr>
            </w:pPr>
            <w:r w:rsidRPr="00751517">
              <w:rPr>
                <w:rFonts w:ascii="標楷體" w:eastAsia="標楷體" w:hAnsi="標楷體" w:cs="細明體"/>
                <w:color w:val="auto"/>
                <w:sz w:val="24"/>
                <w:szCs w:val="24"/>
              </w:rPr>
              <w:t>認購（售）權證之成交方式，分為彙集所有買賣申報撮合</w:t>
            </w:r>
            <w:proofErr w:type="gramStart"/>
            <w:r w:rsidRPr="00751517">
              <w:rPr>
                <w:rFonts w:ascii="標楷體" w:eastAsia="標楷體" w:hAnsi="標楷體" w:cs="細明體"/>
                <w:color w:val="auto"/>
                <w:sz w:val="24"/>
                <w:szCs w:val="24"/>
              </w:rPr>
              <w:t>成交及逐筆</w:t>
            </w:r>
            <w:proofErr w:type="gramEnd"/>
            <w:r w:rsidRPr="00751517">
              <w:rPr>
                <w:rFonts w:ascii="標楷體" w:eastAsia="標楷體" w:hAnsi="標楷體" w:cs="細明體"/>
                <w:color w:val="auto"/>
                <w:sz w:val="24"/>
                <w:szCs w:val="24"/>
              </w:rPr>
              <w:t>交易二種。</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cs="細明體" w:hint="eastAsia"/>
                <w:color w:val="auto"/>
                <w:sz w:val="24"/>
                <w:szCs w:val="24"/>
              </w:rPr>
            </w:pPr>
            <w:r w:rsidRPr="00751517">
              <w:rPr>
                <w:rFonts w:ascii="標楷體" w:eastAsia="標楷體" w:hAnsi="標楷體" w:cs="細明體"/>
                <w:color w:val="auto"/>
                <w:sz w:val="24"/>
                <w:szCs w:val="24"/>
              </w:rPr>
              <w:t>彙集所有買賣申報撮合成交之成交價格依下列原則決定：</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一、高於決定價格之買進申報與低於決定價格之賣出申報需全部滿足。</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二、與決定價格相同之買進申報或賣出申報之一方需全部滿足。</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三、符合前二款原則之價位有二個以上時，</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接近當市最近一次成交價格之價位，如當市尚無成交價格者，</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接近當市開始交易基準價之價位。</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cs="細明體"/>
                <w:color w:val="auto"/>
                <w:sz w:val="24"/>
                <w:szCs w:val="24"/>
              </w:rPr>
            </w:pPr>
            <w:r w:rsidRPr="00751517">
              <w:rPr>
                <w:rFonts w:ascii="標楷體" w:eastAsia="標楷體" w:hAnsi="標楷體" w:cs="細明體"/>
                <w:color w:val="auto"/>
                <w:sz w:val="24"/>
                <w:szCs w:val="24"/>
              </w:rPr>
              <w:t>逐筆交易之成交</w:t>
            </w:r>
            <w:proofErr w:type="gramStart"/>
            <w:r w:rsidRPr="00751517">
              <w:rPr>
                <w:rFonts w:ascii="標楷體" w:eastAsia="標楷體" w:hAnsi="標楷體" w:cs="細明體"/>
                <w:color w:val="auto"/>
                <w:sz w:val="24"/>
                <w:szCs w:val="24"/>
              </w:rPr>
              <w:t>價格按逐筆</w:t>
            </w:r>
            <w:proofErr w:type="gramEnd"/>
            <w:r w:rsidRPr="00751517">
              <w:rPr>
                <w:rFonts w:ascii="標楷體" w:eastAsia="標楷體" w:hAnsi="標楷體" w:cs="細明體"/>
                <w:color w:val="auto"/>
                <w:sz w:val="24"/>
                <w:szCs w:val="24"/>
              </w:rPr>
              <w:t>輸入之買進申報或賣出申報，依下列原則決定：</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一、</w:t>
            </w:r>
            <w:proofErr w:type="gramStart"/>
            <w:r w:rsidRPr="00751517">
              <w:rPr>
                <w:rFonts w:ascii="標楷體" w:eastAsia="標楷體" w:hAnsi="標楷體" w:cs="細明體"/>
                <w:kern w:val="0"/>
                <w:szCs w:val="24"/>
              </w:rPr>
              <w:t>當筆輸入</w:t>
            </w:r>
            <w:proofErr w:type="gramEnd"/>
            <w:r w:rsidRPr="00751517">
              <w:rPr>
                <w:rFonts w:ascii="標楷體" w:eastAsia="標楷體" w:hAnsi="標楷體" w:cs="細明體"/>
                <w:kern w:val="0"/>
                <w:szCs w:val="24"/>
              </w:rPr>
              <w:t>之買進申報價格高於或等於先前輸入之最低賣出申報價格時，依賣出申報價格由低至高依序成交，直至完全滿足</w:t>
            </w:r>
            <w:proofErr w:type="gramStart"/>
            <w:r w:rsidRPr="00751517">
              <w:rPr>
                <w:rFonts w:ascii="標楷體" w:eastAsia="標楷體" w:hAnsi="標楷體" w:cs="細明體"/>
                <w:kern w:val="0"/>
                <w:szCs w:val="24"/>
              </w:rPr>
              <w:t>或當筆輸入</w:t>
            </w:r>
            <w:proofErr w:type="gramEnd"/>
            <w:r w:rsidRPr="00751517">
              <w:rPr>
                <w:rFonts w:ascii="標楷體" w:eastAsia="標楷體" w:hAnsi="標楷體" w:cs="細明體"/>
                <w:kern w:val="0"/>
                <w:szCs w:val="24"/>
              </w:rPr>
              <w:t>之買進申報價格低於未成交之賣出申報價格為止。</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二、</w:t>
            </w:r>
            <w:proofErr w:type="gramStart"/>
            <w:r w:rsidRPr="00751517">
              <w:rPr>
                <w:rFonts w:ascii="標楷體" w:eastAsia="標楷體" w:hAnsi="標楷體" w:cs="細明體"/>
                <w:kern w:val="0"/>
                <w:szCs w:val="24"/>
              </w:rPr>
              <w:t>當筆輸入</w:t>
            </w:r>
            <w:proofErr w:type="gramEnd"/>
            <w:r w:rsidRPr="00751517">
              <w:rPr>
                <w:rFonts w:ascii="標楷體" w:eastAsia="標楷體" w:hAnsi="標楷體" w:cs="細明體"/>
                <w:kern w:val="0"/>
                <w:szCs w:val="24"/>
              </w:rPr>
              <w:t>之賣出申報價格低於或等於先前輸入之最高買進申報價格時，依買進申報價格由高至低依序成交，直至完全滿足</w:t>
            </w:r>
            <w:proofErr w:type="gramStart"/>
            <w:r w:rsidRPr="00751517">
              <w:rPr>
                <w:rFonts w:ascii="標楷體" w:eastAsia="標楷體" w:hAnsi="標楷體" w:cs="細明體"/>
                <w:kern w:val="0"/>
                <w:szCs w:val="24"/>
              </w:rPr>
              <w:t>或當筆輸入</w:t>
            </w:r>
            <w:proofErr w:type="gramEnd"/>
            <w:r w:rsidRPr="00751517">
              <w:rPr>
                <w:rFonts w:ascii="標楷體" w:eastAsia="標楷體" w:hAnsi="標楷體" w:cs="細明體"/>
                <w:kern w:val="0"/>
                <w:szCs w:val="24"/>
              </w:rPr>
              <w:t>之賣出申報價格高</w:t>
            </w:r>
            <w:r w:rsidRPr="00751517">
              <w:rPr>
                <w:rFonts w:ascii="標楷體" w:eastAsia="標楷體" w:hAnsi="標楷體" w:cs="細明體"/>
                <w:kern w:val="0"/>
                <w:szCs w:val="24"/>
              </w:rPr>
              <w:lastRenderedPageBreak/>
              <w:t>於未成交之買進申報價格為止。</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cs="細明體"/>
                <w:color w:val="auto"/>
                <w:sz w:val="24"/>
                <w:szCs w:val="24"/>
              </w:rPr>
            </w:pPr>
            <w:r w:rsidRPr="00751517">
              <w:rPr>
                <w:rFonts w:ascii="標楷體" w:eastAsia="標楷體" w:hAnsi="標楷體" w:cs="細明體"/>
                <w:color w:val="auto"/>
                <w:sz w:val="24"/>
                <w:szCs w:val="24"/>
              </w:rPr>
              <w:t>認購（售）權證當市第一次撮合</w:t>
            </w:r>
            <w:proofErr w:type="gramStart"/>
            <w:r w:rsidRPr="00751517">
              <w:rPr>
                <w:rFonts w:ascii="標楷體" w:eastAsia="標楷體" w:hAnsi="標楷體" w:cs="細明體"/>
                <w:color w:val="auto"/>
                <w:sz w:val="24"/>
                <w:szCs w:val="24"/>
              </w:rPr>
              <w:t>採</w:t>
            </w:r>
            <w:proofErr w:type="gramEnd"/>
            <w:r w:rsidRPr="00751517">
              <w:rPr>
                <w:rFonts w:ascii="標楷體" w:eastAsia="標楷體" w:hAnsi="標楷體" w:cs="細明體"/>
                <w:color w:val="auto"/>
                <w:sz w:val="24"/>
                <w:szCs w:val="24"/>
              </w:rPr>
              <w:t>彙集所有買賣申報撮合成交，其後</w:t>
            </w:r>
            <w:proofErr w:type="gramStart"/>
            <w:r w:rsidRPr="00751517">
              <w:rPr>
                <w:rFonts w:ascii="標楷體" w:eastAsia="標楷體" w:hAnsi="標楷體" w:cs="細明體"/>
                <w:color w:val="auto"/>
                <w:sz w:val="24"/>
                <w:szCs w:val="24"/>
              </w:rPr>
              <w:t>採</w:t>
            </w:r>
            <w:proofErr w:type="gramEnd"/>
            <w:r w:rsidRPr="00751517">
              <w:rPr>
                <w:rFonts w:ascii="標楷體" w:eastAsia="標楷體" w:hAnsi="標楷體" w:cs="細明體"/>
                <w:color w:val="auto"/>
                <w:sz w:val="24"/>
                <w:szCs w:val="24"/>
              </w:rPr>
              <w:t>逐筆交易，至收市前一段時間</w:t>
            </w:r>
            <w:proofErr w:type="gramStart"/>
            <w:r w:rsidRPr="00751517">
              <w:rPr>
                <w:rFonts w:ascii="標楷體" w:eastAsia="標楷體" w:hAnsi="標楷體" w:cs="細明體"/>
                <w:color w:val="auto"/>
                <w:sz w:val="24"/>
                <w:szCs w:val="24"/>
              </w:rPr>
              <w:t>採</w:t>
            </w:r>
            <w:proofErr w:type="gramEnd"/>
            <w:r w:rsidRPr="00751517">
              <w:rPr>
                <w:rFonts w:ascii="標楷體" w:eastAsia="標楷體" w:hAnsi="標楷體" w:cs="細明體"/>
                <w:color w:val="auto"/>
                <w:sz w:val="24"/>
                <w:szCs w:val="24"/>
              </w:rPr>
              <w:t>彙集所有買賣申報撮合成交。</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cs="細明體"/>
                <w:color w:val="auto"/>
                <w:sz w:val="24"/>
                <w:szCs w:val="24"/>
              </w:rPr>
            </w:pPr>
            <w:r w:rsidRPr="00751517">
              <w:rPr>
                <w:rFonts w:ascii="標楷體" w:eastAsia="標楷體" w:hAnsi="標楷體" w:cs="細明體"/>
                <w:color w:val="auto"/>
                <w:sz w:val="24"/>
                <w:szCs w:val="24"/>
              </w:rPr>
              <w:t>前項所稱一段時間</w:t>
            </w:r>
            <w:proofErr w:type="gramStart"/>
            <w:r w:rsidRPr="00751517">
              <w:rPr>
                <w:rFonts w:ascii="標楷體" w:eastAsia="標楷體" w:hAnsi="標楷體" w:cs="細明體"/>
                <w:color w:val="auto"/>
                <w:sz w:val="24"/>
                <w:szCs w:val="24"/>
              </w:rPr>
              <w:t>準</w:t>
            </w:r>
            <w:proofErr w:type="gramEnd"/>
            <w:r w:rsidRPr="00751517">
              <w:rPr>
                <w:rFonts w:ascii="標楷體" w:eastAsia="標楷體" w:hAnsi="標楷體" w:cs="細明體"/>
                <w:color w:val="auto"/>
                <w:sz w:val="24"/>
                <w:szCs w:val="24"/>
              </w:rPr>
              <w:t>用本中心業務規則第三十五條第</w:t>
            </w:r>
            <w:r w:rsidRPr="00751517">
              <w:rPr>
                <w:rFonts w:ascii="標楷體" w:eastAsia="標楷體" w:hAnsi="標楷體" w:cs="細明體" w:hint="eastAsia"/>
                <w:b/>
                <w:bCs/>
                <w:color w:val="auto"/>
                <w:sz w:val="24"/>
                <w:szCs w:val="24"/>
                <w:u w:val="single"/>
              </w:rPr>
              <w:t>五</w:t>
            </w:r>
            <w:r w:rsidRPr="00751517">
              <w:rPr>
                <w:rFonts w:ascii="標楷體" w:eastAsia="標楷體" w:hAnsi="標楷體" w:cs="細明體"/>
                <w:color w:val="auto"/>
                <w:sz w:val="24"/>
                <w:szCs w:val="24"/>
              </w:rPr>
              <w:t>項規定。</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cs="細明體"/>
                <w:color w:val="auto"/>
                <w:sz w:val="24"/>
                <w:szCs w:val="24"/>
              </w:rPr>
            </w:pPr>
            <w:r w:rsidRPr="00751517">
              <w:rPr>
                <w:rFonts w:ascii="標楷體" w:eastAsia="標楷體" w:hAnsi="標楷體" w:cs="細明體"/>
                <w:color w:val="auto"/>
                <w:sz w:val="24"/>
                <w:szCs w:val="24"/>
              </w:rPr>
              <w:t>上櫃認購（售）權證透過本中心等價成交系統，其交易方式、交易時間、買賣資料揭示及買賣委託申報限制，除本中心另有規定外，</w:t>
            </w:r>
            <w:proofErr w:type="gramStart"/>
            <w:r w:rsidRPr="00751517">
              <w:rPr>
                <w:rFonts w:ascii="標楷體" w:eastAsia="標楷體" w:hAnsi="標楷體" w:cs="細明體"/>
                <w:color w:val="auto"/>
                <w:sz w:val="24"/>
                <w:szCs w:val="24"/>
              </w:rPr>
              <w:t>準</w:t>
            </w:r>
            <w:proofErr w:type="gramEnd"/>
            <w:r w:rsidRPr="00751517">
              <w:rPr>
                <w:rFonts w:ascii="標楷體" w:eastAsia="標楷體" w:hAnsi="標楷體" w:cs="細明體"/>
                <w:color w:val="auto"/>
                <w:sz w:val="24"/>
                <w:szCs w:val="24"/>
              </w:rPr>
              <w:t>用櫃檯買賣股票之規定。</w:t>
            </w:r>
          </w:p>
          <w:p w:rsidR="009753C5" w:rsidRPr="00751517" w:rsidRDefault="009753C5" w:rsidP="009753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ind w:leftChars="100" w:left="240" w:firstLineChars="200" w:firstLine="480"/>
              <w:jc w:val="both"/>
              <w:rPr>
                <w:rFonts w:ascii="標楷體" w:eastAsia="標楷體" w:hAnsi="標楷體" w:hint="eastAsia"/>
                <w:b/>
                <w:bCs/>
                <w:color w:val="auto"/>
                <w:sz w:val="24"/>
                <w:szCs w:val="24"/>
                <w:u w:val="single"/>
              </w:rPr>
            </w:pPr>
            <w:r w:rsidRPr="00751517">
              <w:rPr>
                <w:rFonts w:ascii="標楷體" w:eastAsia="標楷體" w:hAnsi="標楷體" w:cs="細明體"/>
                <w:b/>
                <w:bCs/>
                <w:color w:val="auto"/>
                <w:sz w:val="24"/>
                <w:szCs w:val="24"/>
                <w:u w:val="single"/>
              </w:rPr>
              <w:t>上櫃認購（售）權證</w:t>
            </w:r>
            <w:r w:rsidRPr="00751517">
              <w:rPr>
                <w:rFonts w:ascii="Times New Roman" w:eastAsia="標楷體" w:hAnsi="Times New Roman" w:hint="eastAsia"/>
                <w:b/>
                <w:bCs/>
                <w:color w:val="auto"/>
                <w:sz w:val="24"/>
                <w:u w:val="single"/>
              </w:rPr>
              <w:t>透過本中心等價成交系統之交易</w:t>
            </w:r>
            <w:r w:rsidRPr="00751517">
              <w:rPr>
                <w:rFonts w:ascii="Times New Roman" w:eastAsia="標楷體" w:hAnsi="Times New Roman"/>
                <w:b/>
                <w:bCs/>
                <w:color w:val="auto"/>
                <w:sz w:val="24"/>
                <w:u w:val="single"/>
              </w:rPr>
              <w:t>，</w:t>
            </w:r>
            <w:r w:rsidRPr="00751517">
              <w:rPr>
                <w:rFonts w:ascii="標楷體" w:eastAsia="標楷體" w:hAnsi="標楷體" w:cs="細明體" w:hint="eastAsia"/>
                <w:b/>
                <w:bCs/>
                <w:color w:val="auto"/>
                <w:sz w:val="24"/>
                <w:szCs w:val="24"/>
                <w:u w:val="single"/>
              </w:rPr>
              <w:t>不適用本中心業務規則第三十五條第四項規定。</w:t>
            </w:r>
          </w:p>
        </w:tc>
        <w:tc>
          <w:tcPr>
            <w:tcW w:w="3440" w:type="dxa"/>
          </w:tcPr>
          <w:p w:rsidR="009753C5" w:rsidRPr="00751517" w:rsidRDefault="009753C5" w:rsidP="00741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0" w:hangingChars="100" w:hanging="240"/>
              <w:jc w:val="both"/>
              <w:rPr>
                <w:rFonts w:ascii="標楷體" w:eastAsia="標楷體" w:hAnsi="標楷體" w:cs="細明體"/>
                <w:color w:val="auto"/>
                <w:sz w:val="24"/>
                <w:szCs w:val="24"/>
              </w:rPr>
            </w:pPr>
            <w:r w:rsidRPr="00751517">
              <w:rPr>
                <w:rFonts w:ascii="標楷體" w:eastAsia="標楷體" w:hAnsi="標楷體" w:cs="標楷體" w:hint="eastAsia"/>
                <w:color w:val="auto"/>
                <w:sz w:val="24"/>
                <w:szCs w:val="24"/>
              </w:rPr>
              <w:lastRenderedPageBreak/>
              <w:t xml:space="preserve">第九條　</w:t>
            </w:r>
            <w:r w:rsidRPr="00751517">
              <w:rPr>
                <w:rFonts w:ascii="標楷體" w:eastAsia="標楷體" w:hAnsi="標楷體" w:cs="細明體"/>
                <w:color w:val="auto"/>
                <w:sz w:val="24"/>
                <w:szCs w:val="24"/>
              </w:rPr>
              <w:t>櫃檯買賣上櫃認購（售）權證應透過本中心等價成交系統以經紀或自營方式為之。</w:t>
            </w:r>
          </w:p>
          <w:p w:rsidR="009753C5" w:rsidRPr="00751517" w:rsidRDefault="009753C5" w:rsidP="009753C5">
            <w:pPr>
              <w:widowControl/>
              <w:spacing w:beforeLines="50" w:before="180"/>
              <w:ind w:leftChars="100" w:left="240" w:firstLineChars="200" w:firstLine="480"/>
              <w:jc w:val="both"/>
              <w:rPr>
                <w:rFonts w:ascii="標楷體" w:eastAsia="標楷體" w:hAnsi="標楷體" w:cs="細明體"/>
                <w:kern w:val="0"/>
                <w:szCs w:val="24"/>
              </w:rPr>
            </w:pPr>
            <w:r w:rsidRPr="00751517">
              <w:rPr>
                <w:rFonts w:ascii="標楷體" w:eastAsia="標楷體" w:hAnsi="標楷體" w:cs="細明體"/>
                <w:kern w:val="0"/>
                <w:szCs w:val="24"/>
              </w:rPr>
              <w:t>認購（售）權證之成交方式，分為彙集所有買賣申報撮合</w:t>
            </w:r>
            <w:proofErr w:type="gramStart"/>
            <w:r w:rsidRPr="00751517">
              <w:rPr>
                <w:rFonts w:ascii="標楷體" w:eastAsia="標楷體" w:hAnsi="標楷體" w:cs="細明體"/>
                <w:kern w:val="0"/>
                <w:szCs w:val="24"/>
              </w:rPr>
              <w:t>成交及逐筆</w:t>
            </w:r>
            <w:proofErr w:type="gramEnd"/>
            <w:r w:rsidRPr="00751517">
              <w:rPr>
                <w:rFonts w:ascii="標楷體" w:eastAsia="標楷體" w:hAnsi="標楷體" w:cs="細明體"/>
                <w:kern w:val="0"/>
                <w:szCs w:val="24"/>
              </w:rPr>
              <w:t>交易二種。</w:t>
            </w:r>
          </w:p>
          <w:p w:rsidR="009753C5" w:rsidRPr="00751517" w:rsidRDefault="009753C5" w:rsidP="009753C5">
            <w:pPr>
              <w:widowControl/>
              <w:spacing w:beforeLines="50" w:before="180"/>
              <w:ind w:leftChars="100" w:left="240" w:firstLineChars="200" w:firstLine="480"/>
              <w:jc w:val="both"/>
              <w:rPr>
                <w:rFonts w:ascii="標楷體" w:eastAsia="標楷體" w:hAnsi="標楷體" w:cs="細明體"/>
                <w:kern w:val="0"/>
                <w:szCs w:val="24"/>
              </w:rPr>
            </w:pPr>
            <w:r w:rsidRPr="00751517">
              <w:rPr>
                <w:rFonts w:ascii="標楷體" w:eastAsia="標楷體" w:hAnsi="標楷體" w:cs="細明體"/>
                <w:kern w:val="0"/>
                <w:szCs w:val="24"/>
              </w:rPr>
              <w:t>彙集所有買賣申報撮合成交之成交價格依下列原則決定：</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一、高於決定價格之買進申報與低於決定價格之賣出申報需全部滿足。</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二、與決定價格相同之買進申報或賣出申報之一方需全部滿足。</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三、符合前二款原則之價位有二個以上時，</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接近當市最近一次成交價格之價位，如當市尚無成交價格者，</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接近當市開始交易基準價之價位。</w:t>
            </w:r>
          </w:p>
          <w:p w:rsidR="009753C5" w:rsidRPr="00751517" w:rsidRDefault="009753C5" w:rsidP="009753C5">
            <w:pPr>
              <w:widowControl/>
              <w:spacing w:beforeLines="50" w:before="180"/>
              <w:ind w:leftChars="100" w:left="240" w:firstLineChars="200" w:firstLine="480"/>
              <w:jc w:val="both"/>
              <w:rPr>
                <w:rFonts w:ascii="標楷體" w:eastAsia="標楷體" w:hAnsi="標楷體" w:cs="細明體"/>
                <w:kern w:val="0"/>
                <w:szCs w:val="24"/>
              </w:rPr>
            </w:pPr>
            <w:r w:rsidRPr="00751517">
              <w:rPr>
                <w:rFonts w:ascii="標楷體" w:eastAsia="標楷體" w:hAnsi="標楷體" w:cs="細明體"/>
                <w:kern w:val="0"/>
                <w:szCs w:val="24"/>
              </w:rPr>
              <w:t>逐筆交易之成交</w:t>
            </w:r>
            <w:proofErr w:type="gramStart"/>
            <w:r w:rsidRPr="00751517">
              <w:rPr>
                <w:rFonts w:ascii="標楷體" w:eastAsia="標楷體" w:hAnsi="標楷體" w:cs="細明體"/>
                <w:kern w:val="0"/>
                <w:szCs w:val="24"/>
              </w:rPr>
              <w:t>價格按逐筆</w:t>
            </w:r>
            <w:proofErr w:type="gramEnd"/>
            <w:r w:rsidRPr="00751517">
              <w:rPr>
                <w:rFonts w:ascii="標楷體" w:eastAsia="標楷體" w:hAnsi="標楷體" w:cs="細明體"/>
                <w:kern w:val="0"/>
                <w:szCs w:val="24"/>
              </w:rPr>
              <w:t>輸入之買進申報或賣出申報，依下列原則決定：</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一、</w:t>
            </w:r>
            <w:proofErr w:type="gramStart"/>
            <w:r w:rsidRPr="00751517">
              <w:rPr>
                <w:rFonts w:ascii="標楷體" w:eastAsia="標楷體" w:hAnsi="標楷體" w:cs="細明體"/>
                <w:kern w:val="0"/>
                <w:szCs w:val="24"/>
              </w:rPr>
              <w:t>當筆輸入</w:t>
            </w:r>
            <w:proofErr w:type="gramEnd"/>
            <w:r w:rsidRPr="00751517">
              <w:rPr>
                <w:rFonts w:ascii="標楷體" w:eastAsia="標楷體" w:hAnsi="標楷體" w:cs="細明體"/>
                <w:kern w:val="0"/>
                <w:szCs w:val="24"/>
              </w:rPr>
              <w:t>之買進申報價格高於或等於先前輸入之最低賣出申報價格時，依賣出申報價格由低至高依序成交，直至完全滿足</w:t>
            </w:r>
            <w:proofErr w:type="gramStart"/>
            <w:r w:rsidRPr="00751517">
              <w:rPr>
                <w:rFonts w:ascii="標楷體" w:eastAsia="標楷體" w:hAnsi="標楷體" w:cs="細明體"/>
                <w:kern w:val="0"/>
                <w:szCs w:val="24"/>
              </w:rPr>
              <w:t>或當筆輸入</w:t>
            </w:r>
            <w:proofErr w:type="gramEnd"/>
            <w:r w:rsidRPr="00751517">
              <w:rPr>
                <w:rFonts w:ascii="標楷體" w:eastAsia="標楷體" w:hAnsi="標楷體" w:cs="細明體"/>
                <w:kern w:val="0"/>
                <w:szCs w:val="24"/>
              </w:rPr>
              <w:t>之買進申報價格低於未成交之賣出申報價格為止。</w:t>
            </w:r>
          </w:p>
          <w:p w:rsidR="009753C5" w:rsidRPr="00751517" w:rsidRDefault="009753C5" w:rsidP="007416FD">
            <w:pPr>
              <w:widowControl/>
              <w:ind w:leftChars="100" w:left="720" w:hangingChars="200" w:hanging="480"/>
              <w:jc w:val="both"/>
              <w:rPr>
                <w:rFonts w:ascii="標楷體" w:eastAsia="標楷體" w:hAnsi="標楷體" w:cs="細明體"/>
                <w:kern w:val="0"/>
                <w:szCs w:val="24"/>
              </w:rPr>
            </w:pPr>
            <w:r w:rsidRPr="00751517">
              <w:rPr>
                <w:rFonts w:ascii="標楷體" w:eastAsia="標楷體" w:hAnsi="標楷體" w:cs="細明體"/>
                <w:kern w:val="0"/>
                <w:szCs w:val="24"/>
              </w:rPr>
              <w:t>二、</w:t>
            </w:r>
            <w:proofErr w:type="gramStart"/>
            <w:r w:rsidRPr="00751517">
              <w:rPr>
                <w:rFonts w:ascii="標楷體" w:eastAsia="標楷體" w:hAnsi="標楷體" w:cs="細明體"/>
                <w:kern w:val="0"/>
                <w:szCs w:val="24"/>
              </w:rPr>
              <w:t>當筆輸入</w:t>
            </w:r>
            <w:proofErr w:type="gramEnd"/>
            <w:r w:rsidRPr="00751517">
              <w:rPr>
                <w:rFonts w:ascii="標楷體" w:eastAsia="標楷體" w:hAnsi="標楷體" w:cs="細明體"/>
                <w:kern w:val="0"/>
                <w:szCs w:val="24"/>
              </w:rPr>
              <w:t>之賣出申報價格低於或等於先前輸入之最高買進申報價格時，依買進申報價格由高至低依序成交，直至完全滿足</w:t>
            </w:r>
            <w:proofErr w:type="gramStart"/>
            <w:r w:rsidRPr="00751517">
              <w:rPr>
                <w:rFonts w:ascii="標楷體" w:eastAsia="標楷體" w:hAnsi="標楷體" w:cs="細明體"/>
                <w:kern w:val="0"/>
                <w:szCs w:val="24"/>
              </w:rPr>
              <w:t>或當筆輸入</w:t>
            </w:r>
            <w:proofErr w:type="gramEnd"/>
            <w:r w:rsidRPr="00751517">
              <w:rPr>
                <w:rFonts w:ascii="標楷體" w:eastAsia="標楷體" w:hAnsi="標楷體" w:cs="細明體"/>
                <w:kern w:val="0"/>
                <w:szCs w:val="24"/>
              </w:rPr>
              <w:t>之賣出申報價格高</w:t>
            </w:r>
            <w:r w:rsidRPr="00751517">
              <w:rPr>
                <w:rFonts w:ascii="標楷體" w:eastAsia="標楷體" w:hAnsi="標楷體" w:cs="細明體"/>
                <w:kern w:val="0"/>
                <w:szCs w:val="24"/>
              </w:rPr>
              <w:lastRenderedPageBreak/>
              <w:t>於未成交之買進申報價格為止。</w:t>
            </w:r>
          </w:p>
          <w:p w:rsidR="009753C5" w:rsidRPr="00751517" w:rsidRDefault="009753C5" w:rsidP="009753C5">
            <w:pPr>
              <w:widowControl/>
              <w:spacing w:beforeLines="50" w:before="180"/>
              <w:ind w:leftChars="100" w:left="240" w:firstLineChars="200" w:firstLine="480"/>
              <w:jc w:val="both"/>
              <w:rPr>
                <w:rFonts w:ascii="標楷體" w:eastAsia="標楷體" w:hAnsi="標楷體" w:cs="細明體"/>
                <w:kern w:val="0"/>
                <w:szCs w:val="24"/>
              </w:rPr>
            </w:pPr>
            <w:r w:rsidRPr="00751517">
              <w:rPr>
                <w:rFonts w:ascii="標楷體" w:eastAsia="標楷體" w:hAnsi="標楷體" w:cs="細明體"/>
                <w:kern w:val="0"/>
                <w:szCs w:val="24"/>
              </w:rPr>
              <w:t>認購（售）權證當市第一次撮合</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彙集所有買賣申報撮合成交，其後</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逐筆交易，至收市前一段時間</w:t>
            </w:r>
            <w:proofErr w:type="gramStart"/>
            <w:r w:rsidRPr="00751517">
              <w:rPr>
                <w:rFonts w:ascii="標楷體" w:eastAsia="標楷體" w:hAnsi="標楷體" w:cs="細明體"/>
                <w:kern w:val="0"/>
                <w:szCs w:val="24"/>
              </w:rPr>
              <w:t>採</w:t>
            </w:r>
            <w:proofErr w:type="gramEnd"/>
            <w:r w:rsidRPr="00751517">
              <w:rPr>
                <w:rFonts w:ascii="標楷體" w:eastAsia="標楷體" w:hAnsi="標楷體" w:cs="細明體"/>
                <w:kern w:val="0"/>
                <w:szCs w:val="24"/>
              </w:rPr>
              <w:t>彙集所有買賣申報撮合成交。</w:t>
            </w:r>
          </w:p>
          <w:p w:rsidR="009753C5" w:rsidRPr="00751517" w:rsidRDefault="009753C5" w:rsidP="009753C5">
            <w:pPr>
              <w:widowControl/>
              <w:spacing w:beforeLines="50" w:before="180"/>
              <w:ind w:leftChars="100" w:left="240" w:firstLineChars="200" w:firstLine="480"/>
              <w:jc w:val="both"/>
              <w:rPr>
                <w:rFonts w:ascii="標楷體" w:eastAsia="標楷體" w:hAnsi="標楷體" w:cs="細明體"/>
                <w:kern w:val="0"/>
                <w:szCs w:val="24"/>
              </w:rPr>
            </w:pPr>
            <w:r w:rsidRPr="00751517">
              <w:rPr>
                <w:rFonts w:ascii="標楷體" w:eastAsia="標楷體" w:hAnsi="標楷體" w:cs="細明體"/>
                <w:kern w:val="0"/>
                <w:szCs w:val="24"/>
              </w:rPr>
              <w:t>前項所稱一段時間</w:t>
            </w:r>
            <w:proofErr w:type="gramStart"/>
            <w:r w:rsidRPr="00751517">
              <w:rPr>
                <w:rFonts w:ascii="標楷體" w:eastAsia="標楷體" w:hAnsi="標楷體" w:cs="細明體"/>
                <w:kern w:val="0"/>
                <w:szCs w:val="24"/>
              </w:rPr>
              <w:t>準</w:t>
            </w:r>
            <w:proofErr w:type="gramEnd"/>
            <w:r w:rsidRPr="00751517">
              <w:rPr>
                <w:rFonts w:ascii="標楷體" w:eastAsia="標楷體" w:hAnsi="標楷體" w:cs="細明體"/>
                <w:kern w:val="0"/>
                <w:szCs w:val="24"/>
              </w:rPr>
              <w:t>用本中心業務規則第三十五條第</w:t>
            </w:r>
            <w:r w:rsidRPr="00751517">
              <w:rPr>
                <w:rFonts w:ascii="標楷體" w:eastAsia="標楷體" w:hAnsi="標楷體" w:cs="細明體"/>
                <w:b/>
                <w:bCs/>
                <w:kern w:val="0"/>
                <w:szCs w:val="24"/>
                <w:u w:val="single"/>
              </w:rPr>
              <w:t>四</w:t>
            </w:r>
            <w:r w:rsidRPr="00751517">
              <w:rPr>
                <w:rFonts w:ascii="標楷體" w:eastAsia="標楷體" w:hAnsi="標楷體" w:cs="細明體"/>
                <w:kern w:val="0"/>
                <w:szCs w:val="24"/>
              </w:rPr>
              <w:t>項規定。</w:t>
            </w:r>
          </w:p>
          <w:p w:rsidR="009753C5" w:rsidRPr="00751517" w:rsidRDefault="009753C5" w:rsidP="009753C5">
            <w:pPr>
              <w:widowControl/>
              <w:spacing w:beforeLines="50" w:before="180"/>
              <w:ind w:leftChars="100" w:left="240" w:firstLineChars="200" w:firstLine="480"/>
              <w:jc w:val="both"/>
              <w:rPr>
                <w:rFonts w:ascii="標楷體" w:eastAsia="標楷體" w:hAnsi="標楷體" w:cs="細明體" w:hint="eastAsia"/>
                <w:kern w:val="0"/>
                <w:szCs w:val="24"/>
              </w:rPr>
            </w:pPr>
            <w:r w:rsidRPr="00751517">
              <w:rPr>
                <w:rFonts w:ascii="標楷體" w:eastAsia="標楷體" w:hAnsi="標楷體" w:cs="細明體"/>
                <w:kern w:val="0"/>
                <w:szCs w:val="24"/>
              </w:rPr>
              <w:t>上櫃認購（售）權證透過本中心等價成交系統，其交易方式、交易時間、買賣資料揭示及買賣委託申報限制，除本中心另有規定外，</w:t>
            </w:r>
            <w:proofErr w:type="gramStart"/>
            <w:r w:rsidRPr="00751517">
              <w:rPr>
                <w:rFonts w:ascii="標楷體" w:eastAsia="標楷體" w:hAnsi="標楷體" w:cs="細明體"/>
                <w:kern w:val="0"/>
                <w:szCs w:val="24"/>
              </w:rPr>
              <w:t>準</w:t>
            </w:r>
            <w:proofErr w:type="gramEnd"/>
            <w:r w:rsidRPr="00751517">
              <w:rPr>
                <w:rFonts w:ascii="標楷體" w:eastAsia="標楷體" w:hAnsi="標楷體" w:cs="細明體"/>
                <w:kern w:val="0"/>
                <w:szCs w:val="24"/>
              </w:rPr>
              <w:t>用櫃檯買賣股票之規定。</w:t>
            </w:r>
          </w:p>
          <w:p w:rsidR="009753C5" w:rsidRPr="00751517" w:rsidRDefault="009753C5" w:rsidP="009753C5">
            <w:pPr>
              <w:widowControl/>
              <w:spacing w:beforeLines="50" w:before="180"/>
              <w:ind w:leftChars="100" w:left="240" w:firstLineChars="200" w:firstLine="480"/>
              <w:rPr>
                <w:rFonts w:ascii="標楷體" w:eastAsia="標楷體" w:hAnsi="標楷體" w:hint="eastAsia"/>
                <w:b/>
                <w:bCs/>
                <w:szCs w:val="24"/>
              </w:rPr>
            </w:pPr>
            <w:r w:rsidRPr="00751517">
              <w:rPr>
                <w:rFonts w:ascii="標楷體" w:eastAsia="標楷體" w:hAnsi="標楷體" w:cs="細明體" w:hint="eastAsia"/>
                <w:b/>
                <w:bCs/>
                <w:kern w:val="0"/>
                <w:szCs w:val="24"/>
              </w:rPr>
              <w:t>（本項新增）</w:t>
            </w:r>
          </w:p>
        </w:tc>
        <w:tc>
          <w:tcPr>
            <w:tcW w:w="3440" w:type="dxa"/>
          </w:tcPr>
          <w:p w:rsidR="009753C5" w:rsidRPr="00751517" w:rsidRDefault="009753C5" w:rsidP="007416FD">
            <w:pPr>
              <w:ind w:left="480" w:hangingChars="200" w:hanging="480"/>
              <w:jc w:val="both"/>
              <w:textAlignment w:val="center"/>
              <w:rPr>
                <w:rFonts w:ascii="標楷體" w:eastAsia="標楷體" w:hAnsi="標楷體" w:hint="eastAsia"/>
                <w:szCs w:val="24"/>
              </w:rPr>
            </w:pPr>
            <w:r w:rsidRPr="00751517">
              <w:rPr>
                <w:rFonts w:ascii="Times New Roman" w:eastAsia="標楷體" w:hAnsi="Times New Roman" w:hint="eastAsia"/>
                <w:szCs w:val="24"/>
              </w:rPr>
              <w:lastRenderedPageBreak/>
              <w:t>一、配合</w:t>
            </w:r>
            <w:r w:rsidRPr="00751517">
              <w:rPr>
                <w:rFonts w:ascii="Times New Roman" w:eastAsia="標楷體" w:hAnsi="細明體" w:cs="細明體"/>
                <w:kern w:val="0"/>
                <w:szCs w:val="24"/>
              </w:rPr>
              <w:t>本中心證券商營業處所買賣有價證券業務規則</w:t>
            </w:r>
            <w:r w:rsidRPr="00751517">
              <w:rPr>
                <w:rFonts w:ascii="Times New Roman" w:eastAsia="標楷體" w:hAnsi="細明體" w:cs="細明體" w:hint="eastAsia"/>
                <w:kern w:val="0"/>
                <w:szCs w:val="24"/>
              </w:rPr>
              <w:t>第三十五條之項次調整，</w:t>
            </w:r>
            <w:proofErr w:type="gramStart"/>
            <w:r w:rsidRPr="00751517">
              <w:rPr>
                <w:rFonts w:ascii="Times New Roman" w:eastAsia="標楷體" w:hAnsi="標楷體" w:hint="eastAsia"/>
                <w:szCs w:val="24"/>
              </w:rPr>
              <w:t>爰</w:t>
            </w:r>
            <w:proofErr w:type="gramEnd"/>
            <w:r w:rsidRPr="00751517">
              <w:rPr>
                <w:rFonts w:ascii="Times New Roman" w:eastAsia="標楷體" w:hAnsi="標楷體" w:hint="eastAsia"/>
                <w:szCs w:val="24"/>
              </w:rPr>
              <w:t>修正第六項</w:t>
            </w:r>
            <w:r w:rsidRPr="00751517">
              <w:rPr>
                <w:rFonts w:ascii="標楷體" w:eastAsia="標楷體" w:hAnsi="標楷體" w:hint="eastAsia"/>
                <w:szCs w:val="24"/>
              </w:rPr>
              <w:t>。</w:t>
            </w:r>
          </w:p>
          <w:p w:rsidR="009753C5" w:rsidRPr="00751517" w:rsidRDefault="009753C5" w:rsidP="007416FD">
            <w:pPr>
              <w:ind w:left="480" w:hangingChars="200" w:hanging="480"/>
              <w:jc w:val="both"/>
              <w:textAlignment w:val="center"/>
              <w:rPr>
                <w:rFonts w:ascii="標楷體" w:eastAsia="標楷體" w:hAnsi="標楷體" w:hint="eastAsia"/>
                <w:szCs w:val="24"/>
              </w:rPr>
            </w:pPr>
            <w:r w:rsidRPr="00751517">
              <w:rPr>
                <w:rFonts w:ascii="標楷體" w:eastAsia="標楷體" w:hAnsi="標楷體" w:hint="eastAsia"/>
                <w:szCs w:val="24"/>
              </w:rPr>
              <w:t>二、</w:t>
            </w:r>
            <w:r w:rsidRPr="00751517">
              <w:rPr>
                <w:rFonts w:ascii="Times New Roman" w:eastAsia="標楷體" w:hAnsi="Times New Roman" w:hint="eastAsia"/>
                <w:szCs w:val="24"/>
              </w:rPr>
              <w:t>為收盤前資訊揭露制度調整而實施之個別有價證券延緩收盤等配套措施，</w:t>
            </w:r>
            <w:r w:rsidRPr="00751517">
              <w:rPr>
                <w:rFonts w:ascii="標楷體" w:eastAsia="標楷體" w:hAnsi="標楷體" w:hint="eastAsia"/>
                <w:bCs/>
                <w:szCs w:val="24"/>
              </w:rPr>
              <w:t>排除認購（售）權證之適用，</w:t>
            </w:r>
            <w:proofErr w:type="gramStart"/>
            <w:r w:rsidRPr="00751517">
              <w:rPr>
                <w:rFonts w:ascii="標楷體" w:eastAsia="標楷體" w:hAnsi="標楷體" w:cs="細明體" w:hint="eastAsia"/>
                <w:szCs w:val="24"/>
              </w:rPr>
              <w:t>爰</w:t>
            </w:r>
            <w:proofErr w:type="gramEnd"/>
            <w:r w:rsidRPr="00751517">
              <w:rPr>
                <w:rFonts w:ascii="標楷體" w:eastAsia="標楷體" w:hAnsi="標楷體" w:cs="細明體" w:hint="eastAsia"/>
                <w:szCs w:val="24"/>
              </w:rPr>
              <w:t>新增第八項</w:t>
            </w:r>
            <w:r w:rsidRPr="00751517">
              <w:rPr>
                <w:rFonts w:ascii="標楷體" w:eastAsia="標楷體" w:hAnsi="標楷體" w:hint="eastAsia"/>
                <w:szCs w:val="24"/>
              </w:rPr>
              <w:t>。</w:t>
            </w:r>
          </w:p>
        </w:tc>
      </w:tr>
    </w:tbl>
    <w:p w:rsidR="00813AA7" w:rsidRPr="009753C5" w:rsidRDefault="006336CE" w:rsidP="006336CE">
      <w:bookmarkStart w:id="1" w:name="_GoBack"/>
      <w:bookmarkEnd w:id="1"/>
    </w:p>
    <w:sectPr w:rsidR="00813AA7" w:rsidRPr="009753C5" w:rsidSect="009753C5">
      <w:pgSz w:w="11906" w:h="16838"/>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C5"/>
    <w:rsid w:val="006336CE"/>
    <w:rsid w:val="009753C5"/>
    <w:rsid w:val="00C26138"/>
    <w:rsid w:val="00ED2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C5"/>
    <w:pPr>
      <w:widowControl w:val="0"/>
    </w:pPr>
    <w:rPr>
      <w:rFonts w:ascii="Calibri" w:eastAsia="新細明體" w:hAnsi="Calibri" w:cs="Times New Roman"/>
    </w:rPr>
  </w:style>
  <w:style w:type="paragraph" w:styleId="1">
    <w:name w:val="heading 1"/>
    <w:basedOn w:val="a"/>
    <w:next w:val="a"/>
    <w:link w:val="10"/>
    <w:qFormat/>
    <w:rsid w:val="009753C5"/>
    <w:pPr>
      <w:keepNext/>
      <w:adjustRightInd w:val="0"/>
      <w:spacing w:afterLines="25" w:after="90" w:line="360" w:lineRule="exact"/>
      <w:jc w:val="center"/>
      <w:textAlignment w:val="baseline"/>
      <w:outlineLvl w:val="0"/>
    </w:pPr>
    <w:rPr>
      <w:rFonts w:ascii="Times New Roman" w:eastAsia="標楷體" w:hAnsi="Arial"/>
      <w:b/>
      <w:bCs/>
      <w:w w:val="67"/>
      <w:kern w:val="0"/>
      <w:sz w:val="32"/>
      <w:szCs w:val="32"/>
      <w:fitText w:val="10319" w:id="-3807749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53C5"/>
    <w:rPr>
      <w:rFonts w:ascii="Times New Roman" w:eastAsia="標楷體" w:hAnsi="Arial" w:cs="Times New Roman"/>
      <w:b/>
      <w:bCs/>
      <w:w w:val="67"/>
      <w:kern w:val="0"/>
      <w:sz w:val="32"/>
      <w:szCs w:val="32"/>
      <w:fitText w:val="10319" w:id="-380774912"/>
    </w:rPr>
  </w:style>
  <w:style w:type="paragraph" w:styleId="HTML">
    <w:name w:val="HTML Preformatted"/>
    <w:basedOn w:val="a"/>
    <w:link w:val="HTML0"/>
    <w:uiPriority w:val="99"/>
    <w:rsid w:val="0097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szCs w:val="20"/>
    </w:rPr>
  </w:style>
  <w:style w:type="character" w:customStyle="1" w:styleId="HTML0">
    <w:name w:val="HTML 預設格式 字元"/>
    <w:basedOn w:val="a0"/>
    <w:link w:val="HTML"/>
    <w:uiPriority w:val="99"/>
    <w:rsid w:val="009753C5"/>
    <w:rPr>
      <w:rFonts w:ascii="細明體" w:eastAsia="細明體" w:hAnsi="Courier New" w:cs="Times New Roma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C5"/>
    <w:pPr>
      <w:widowControl w:val="0"/>
    </w:pPr>
    <w:rPr>
      <w:rFonts w:ascii="Calibri" w:eastAsia="新細明體" w:hAnsi="Calibri" w:cs="Times New Roman"/>
    </w:rPr>
  </w:style>
  <w:style w:type="paragraph" w:styleId="1">
    <w:name w:val="heading 1"/>
    <w:basedOn w:val="a"/>
    <w:next w:val="a"/>
    <w:link w:val="10"/>
    <w:qFormat/>
    <w:rsid w:val="009753C5"/>
    <w:pPr>
      <w:keepNext/>
      <w:adjustRightInd w:val="0"/>
      <w:spacing w:afterLines="25" w:after="90" w:line="360" w:lineRule="exact"/>
      <w:jc w:val="center"/>
      <w:textAlignment w:val="baseline"/>
      <w:outlineLvl w:val="0"/>
    </w:pPr>
    <w:rPr>
      <w:rFonts w:ascii="Times New Roman" w:eastAsia="標楷體" w:hAnsi="Arial"/>
      <w:b/>
      <w:bCs/>
      <w:w w:val="67"/>
      <w:kern w:val="0"/>
      <w:sz w:val="32"/>
      <w:szCs w:val="32"/>
      <w:fitText w:val="10319" w:id="-3807749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53C5"/>
    <w:rPr>
      <w:rFonts w:ascii="Times New Roman" w:eastAsia="標楷體" w:hAnsi="Arial" w:cs="Times New Roman"/>
      <w:b/>
      <w:bCs/>
      <w:w w:val="67"/>
      <w:kern w:val="0"/>
      <w:sz w:val="32"/>
      <w:szCs w:val="32"/>
      <w:fitText w:val="10319" w:id="-380774912"/>
    </w:rPr>
  </w:style>
  <w:style w:type="paragraph" w:styleId="HTML">
    <w:name w:val="HTML Preformatted"/>
    <w:basedOn w:val="a"/>
    <w:link w:val="HTML0"/>
    <w:uiPriority w:val="99"/>
    <w:rsid w:val="0097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szCs w:val="20"/>
    </w:rPr>
  </w:style>
  <w:style w:type="character" w:customStyle="1" w:styleId="HTML0">
    <w:name w:val="HTML 預設格式 字元"/>
    <w:basedOn w:val="a0"/>
    <w:link w:val="HTML"/>
    <w:uiPriority w:val="99"/>
    <w:rsid w:val="009753C5"/>
    <w:rPr>
      <w:rFonts w:ascii="細明體" w:eastAsia="細明體" w:hAnsi="Courier New"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張翠蘭</dc:creator>
  <cp:lastModifiedBy>張翠蘭</cp:lastModifiedBy>
  <cp:revision>2</cp:revision>
  <dcterms:created xsi:type="dcterms:W3CDTF">2015-06-18T02:53:00Z</dcterms:created>
  <dcterms:modified xsi:type="dcterms:W3CDTF">2015-06-18T02:55:00Z</dcterms:modified>
</cp:coreProperties>
</file>