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215" w:rsidRPr="007B05AB" w:rsidRDefault="00C04215" w:rsidP="00C04215">
      <w:pPr>
        <w:pStyle w:val="1"/>
      </w:pPr>
      <w:bookmarkStart w:id="0" w:name="_Toc292591383"/>
      <w:r w:rsidRPr="00C04215">
        <w:rPr>
          <w:rFonts w:hint="eastAsia"/>
          <w:spacing w:val="8"/>
          <w:w w:val="70"/>
        </w:rPr>
        <w:t>十、財</w:t>
      </w:r>
      <w:r w:rsidRPr="00C04215">
        <w:rPr>
          <w:spacing w:val="8"/>
          <w:w w:val="70"/>
        </w:rPr>
        <w:t>團法人中華民國證券櫃檯買賣中心</w:t>
      </w:r>
      <w:bookmarkStart w:id="1" w:name="_GoBack"/>
      <w:r w:rsidRPr="00C04215">
        <w:rPr>
          <w:rFonts w:hAnsi="新細明體"/>
          <w:spacing w:val="8"/>
          <w:w w:val="70"/>
        </w:rPr>
        <w:t>上櫃證券鉅額買賣辦法</w:t>
      </w:r>
      <w:r w:rsidRPr="00C04215">
        <w:rPr>
          <w:rFonts w:hint="eastAsia"/>
          <w:spacing w:val="8"/>
          <w:w w:val="70"/>
        </w:rPr>
        <w:t>第六條及第十三條修正條文對照</w:t>
      </w:r>
      <w:r w:rsidRPr="00C04215">
        <w:rPr>
          <w:rFonts w:hint="eastAsia"/>
          <w:spacing w:val="-7"/>
          <w:w w:val="70"/>
        </w:rPr>
        <w:t>表</w:t>
      </w:r>
      <w:bookmarkEnd w:id="0"/>
      <w:bookmarkEnd w:id="1"/>
    </w:p>
    <w:tbl>
      <w:tblPr>
        <w:tblW w:w="1031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3439"/>
        <w:gridCol w:w="3440"/>
        <w:gridCol w:w="3440"/>
      </w:tblGrid>
      <w:tr w:rsidR="00C04215" w:rsidRPr="00751517" w:rsidTr="007416FD">
        <w:trPr>
          <w:tblHeader/>
          <w:jc w:val="center"/>
        </w:trPr>
        <w:tc>
          <w:tcPr>
            <w:tcW w:w="3439" w:type="dxa"/>
            <w:tcBorders>
              <w:top w:val="single" w:sz="12" w:space="0" w:color="auto"/>
              <w:bottom w:val="double" w:sz="4" w:space="0" w:color="auto"/>
            </w:tcBorders>
            <w:vAlign w:val="center"/>
          </w:tcPr>
          <w:p w:rsidR="00C04215" w:rsidRPr="00751517" w:rsidRDefault="00C04215" w:rsidP="007416FD">
            <w:pPr>
              <w:widowControl/>
              <w:jc w:val="center"/>
              <w:rPr>
                <w:rFonts w:ascii="Times New Roman" w:eastAsia="標楷體" w:hAnsi="Times New Roman" w:cs="新細明體" w:hint="eastAsia"/>
                <w:bCs/>
                <w:kern w:val="0"/>
                <w:szCs w:val="24"/>
              </w:rPr>
            </w:pPr>
            <w:r w:rsidRPr="00751517">
              <w:rPr>
                <w:rFonts w:ascii="Times New Roman" w:eastAsia="標楷體" w:hAnsi="Times New Roman" w:cs="新細明體" w:hint="eastAsia"/>
                <w:bCs/>
                <w:kern w:val="0"/>
                <w:szCs w:val="24"/>
              </w:rPr>
              <w:t>修正條文</w:t>
            </w:r>
          </w:p>
        </w:tc>
        <w:tc>
          <w:tcPr>
            <w:tcW w:w="3440" w:type="dxa"/>
            <w:tcBorders>
              <w:top w:val="single" w:sz="12" w:space="0" w:color="auto"/>
              <w:bottom w:val="double" w:sz="4" w:space="0" w:color="auto"/>
            </w:tcBorders>
            <w:vAlign w:val="center"/>
          </w:tcPr>
          <w:p w:rsidR="00C04215" w:rsidRPr="00751517" w:rsidRDefault="00C04215" w:rsidP="007416FD">
            <w:pPr>
              <w:widowControl/>
              <w:jc w:val="center"/>
              <w:rPr>
                <w:rFonts w:ascii="Times New Roman" w:eastAsia="標楷體" w:hAnsi="Times New Roman" w:cs="新細明體" w:hint="eastAsia"/>
                <w:bCs/>
                <w:kern w:val="0"/>
                <w:szCs w:val="24"/>
              </w:rPr>
            </w:pPr>
            <w:r w:rsidRPr="00751517">
              <w:rPr>
                <w:rFonts w:ascii="Times New Roman" w:eastAsia="標楷體" w:hAnsi="Times New Roman" w:cs="新細明體" w:hint="eastAsia"/>
                <w:bCs/>
                <w:kern w:val="0"/>
                <w:szCs w:val="24"/>
              </w:rPr>
              <w:t>現行條文</w:t>
            </w:r>
          </w:p>
        </w:tc>
        <w:tc>
          <w:tcPr>
            <w:tcW w:w="3440" w:type="dxa"/>
            <w:tcBorders>
              <w:top w:val="single" w:sz="12" w:space="0" w:color="auto"/>
              <w:bottom w:val="double" w:sz="4" w:space="0" w:color="auto"/>
            </w:tcBorders>
            <w:vAlign w:val="center"/>
          </w:tcPr>
          <w:p w:rsidR="00C04215" w:rsidRPr="00751517" w:rsidRDefault="00C04215" w:rsidP="007416FD">
            <w:pPr>
              <w:widowControl/>
              <w:jc w:val="center"/>
              <w:rPr>
                <w:rFonts w:ascii="Times New Roman" w:eastAsia="標楷體" w:hAnsi="Times New Roman" w:cs="新細明體"/>
                <w:bCs/>
                <w:kern w:val="0"/>
                <w:szCs w:val="24"/>
              </w:rPr>
            </w:pPr>
            <w:r w:rsidRPr="00751517">
              <w:rPr>
                <w:rFonts w:ascii="Times New Roman" w:eastAsia="標楷體" w:hAnsi="Times New Roman" w:cs="新細明體" w:hint="eastAsia"/>
                <w:bCs/>
                <w:kern w:val="0"/>
                <w:szCs w:val="24"/>
              </w:rPr>
              <w:t>說明</w:t>
            </w:r>
          </w:p>
        </w:tc>
      </w:tr>
      <w:tr w:rsidR="00C04215" w:rsidRPr="00751517" w:rsidTr="007416FD">
        <w:trPr>
          <w:jc w:val="center"/>
        </w:trPr>
        <w:tc>
          <w:tcPr>
            <w:tcW w:w="3439" w:type="dxa"/>
            <w:tcBorders>
              <w:top w:val="single" w:sz="6" w:space="0" w:color="auto"/>
              <w:bottom w:val="single" w:sz="6" w:space="0" w:color="auto"/>
            </w:tcBorders>
          </w:tcPr>
          <w:p w:rsidR="00C04215" w:rsidRPr="00751517" w:rsidRDefault="00C04215" w:rsidP="007416FD">
            <w:pPr>
              <w:widowControl/>
              <w:ind w:left="240" w:hangingChars="100" w:hanging="240"/>
              <w:jc w:val="both"/>
              <w:rPr>
                <w:rFonts w:ascii="Times New Roman" w:eastAsia="標楷體" w:hAnsi="Times New Roman" w:hint="eastAsia"/>
              </w:rPr>
            </w:pPr>
            <w:r w:rsidRPr="00751517">
              <w:rPr>
                <w:rFonts w:ascii="Times New Roman" w:eastAsia="標楷體" w:hAnsi="Times New Roman" w:hint="eastAsia"/>
              </w:rPr>
              <w:t xml:space="preserve">第六條　</w:t>
            </w:r>
            <w:r w:rsidRPr="00751517">
              <w:rPr>
                <w:rFonts w:ascii="Times New Roman" w:eastAsia="標楷體" w:hAnsi="細明體"/>
                <w:kern w:val="0"/>
                <w:szCs w:val="24"/>
              </w:rPr>
              <w:t>證券商當日申報成交日後第二營業日給付</w:t>
            </w:r>
            <w:proofErr w:type="gramStart"/>
            <w:r w:rsidRPr="00751517">
              <w:rPr>
                <w:rFonts w:ascii="Times New Roman" w:eastAsia="標楷體" w:hAnsi="細明體"/>
                <w:kern w:val="0"/>
                <w:szCs w:val="24"/>
              </w:rPr>
              <w:t>結算之逐筆</w:t>
            </w:r>
            <w:proofErr w:type="gramEnd"/>
            <w:r w:rsidRPr="00751517">
              <w:rPr>
                <w:rFonts w:ascii="Times New Roman" w:eastAsia="標楷體" w:hAnsi="細明體"/>
                <w:kern w:val="0"/>
                <w:szCs w:val="24"/>
              </w:rPr>
              <w:t>交易買賣申報總金額，適用本中心業務規則第三十五條第</w:t>
            </w:r>
            <w:r w:rsidRPr="00751517">
              <w:rPr>
                <w:rFonts w:ascii="Times New Roman" w:eastAsia="標楷體" w:hAnsi="細明體" w:hint="eastAsia"/>
                <w:b/>
                <w:bCs/>
                <w:kern w:val="0"/>
                <w:szCs w:val="24"/>
                <w:u w:val="single"/>
              </w:rPr>
              <w:t>八</w:t>
            </w:r>
            <w:r w:rsidRPr="00751517">
              <w:rPr>
                <w:rFonts w:ascii="Times New Roman" w:eastAsia="標楷體" w:hAnsi="細明體"/>
                <w:kern w:val="0"/>
                <w:szCs w:val="24"/>
              </w:rPr>
              <w:t>項至第</w:t>
            </w:r>
            <w:r w:rsidRPr="00751517">
              <w:rPr>
                <w:rFonts w:ascii="Times New Roman" w:eastAsia="標楷體" w:hAnsi="細明體" w:hint="eastAsia"/>
                <w:b/>
                <w:bCs/>
                <w:kern w:val="0"/>
                <w:szCs w:val="24"/>
                <w:u w:val="single"/>
              </w:rPr>
              <w:t>十</w:t>
            </w:r>
            <w:r w:rsidRPr="00751517">
              <w:rPr>
                <w:rFonts w:ascii="Times New Roman" w:eastAsia="標楷體" w:hAnsi="細明體"/>
                <w:kern w:val="0"/>
                <w:szCs w:val="24"/>
              </w:rPr>
              <w:t>項之規定。但證券商當日申報成交日給付</w:t>
            </w:r>
            <w:proofErr w:type="gramStart"/>
            <w:r w:rsidRPr="00751517">
              <w:rPr>
                <w:rFonts w:ascii="Times New Roman" w:eastAsia="標楷體" w:hAnsi="細明體"/>
                <w:kern w:val="0"/>
                <w:szCs w:val="24"/>
              </w:rPr>
              <w:t>結算之逐筆</w:t>
            </w:r>
            <w:proofErr w:type="gramEnd"/>
            <w:r w:rsidRPr="00751517">
              <w:rPr>
                <w:rFonts w:ascii="Times New Roman" w:eastAsia="標楷體" w:hAnsi="細明體"/>
                <w:kern w:val="0"/>
                <w:szCs w:val="24"/>
              </w:rPr>
              <w:t>交易買賣申報總金額，不在此限。</w:t>
            </w:r>
          </w:p>
          <w:p w:rsidR="00C04215" w:rsidRPr="00751517" w:rsidRDefault="00C04215" w:rsidP="007416FD">
            <w:pPr>
              <w:widowControl/>
              <w:spacing w:beforeLines="50" w:before="180"/>
              <w:ind w:leftChars="100" w:left="240" w:firstLineChars="200" w:firstLine="480"/>
              <w:jc w:val="both"/>
              <w:rPr>
                <w:rFonts w:ascii="Times New Roman" w:eastAsia="標楷體" w:hAnsi="細明體" w:hint="eastAsia"/>
                <w:kern w:val="0"/>
                <w:szCs w:val="24"/>
              </w:rPr>
            </w:pPr>
            <w:r w:rsidRPr="00751517">
              <w:rPr>
                <w:rFonts w:ascii="Times New Roman" w:eastAsia="標楷體" w:hAnsi="細明體"/>
                <w:kern w:val="0"/>
                <w:szCs w:val="24"/>
              </w:rPr>
              <w:t>證券商當日申報成交日給付</w:t>
            </w:r>
            <w:proofErr w:type="gramStart"/>
            <w:r w:rsidRPr="00751517">
              <w:rPr>
                <w:rFonts w:ascii="Times New Roman" w:eastAsia="標楷體" w:hAnsi="細明體"/>
                <w:kern w:val="0"/>
                <w:szCs w:val="24"/>
              </w:rPr>
              <w:t>結算之逐筆</w:t>
            </w:r>
            <w:proofErr w:type="gramEnd"/>
            <w:r w:rsidRPr="00751517">
              <w:rPr>
                <w:rFonts w:ascii="Times New Roman" w:eastAsia="標楷體" w:hAnsi="細明體"/>
                <w:kern w:val="0"/>
                <w:szCs w:val="24"/>
              </w:rPr>
              <w:t>交易，本中心認為必要時，得通知其向本中心繳交成交日給付結算之鉅額買賣申報買進及賣出合計金額五成之保證金，</w:t>
            </w:r>
            <w:proofErr w:type="gramStart"/>
            <w:r w:rsidRPr="00751517">
              <w:rPr>
                <w:rFonts w:ascii="Times New Roman" w:eastAsia="標楷體" w:hAnsi="細明體"/>
                <w:kern w:val="0"/>
                <w:szCs w:val="24"/>
              </w:rPr>
              <w:t>俟</w:t>
            </w:r>
            <w:proofErr w:type="gramEnd"/>
            <w:r w:rsidRPr="00751517">
              <w:rPr>
                <w:rFonts w:ascii="Times New Roman" w:eastAsia="標楷體" w:hAnsi="細明體"/>
                <w:kern w:val="0"/>
                <w:szCs w:val="24"/>
              </w:rPr>
              <w:t>收訖後接受其申報。</w:t>
            </w:r>
          </w:p>
          <w:p w:rsidR="00C04215" w:rsidRPr="00751517" w:rsidRDefault="00C04215" w:rsidP="007416FD">
            <w:pPr>
              <w:widowControl/>
              <w:spacing w:beforeLines="50" w:before="180"/>
              <w:ind w:leftChars="100" w:left="240" w:firstLineChars="200" w:firstLine="480"/>
              <w:jc w:val="both"/>
              <w:rPr>
                <w:rFonts w:ascii="Times New Roman" w:eastAsia="標楷體" w:hAnsi="Times New Roman" w:cs="細明體"/>
                <w:kern w:val="0"/>
                <w:szCs w:val="24"/>
                <w:u w:val="single"/>
              </w:rPr>
            </w:pPr>
            <w:r w:rsidRPr="00751517">
              <w:rPr>
                <w:rFonts w:ascii="Times New Roman" w:eastAsia="標楷體" w:hAnsi="細明體"/>
                <w:kern w:val="0"/>
                <w:szCs w:val="24"/>
              </w:rPr>
              <w:t>前項逐筆交易申報賣出時，如經證券集中保管事業完成圈存全部或部分有價證券，且其結果已傳送至本中心無誤者，所圈存有價證券之賣出金額，不納入前項繳交保證金之計算。</w:t>
            </w:r>
          </w:p>
        </w:tc>
        <w:tc>
          <w:tcPr>
            <w:tcW w:w="3440" w:type="dxa"/>
            <w:tcBorders>
              <w:top w:val="single" w:sz="6" w:space="0" w:color="auto"/>
              <w:bottom w:val="single" w:sz="6" w:space="0" w:color="auto"/>
            </w:tcBorders>
          </w:tcPr>
          <w:p w:rsidR="00C04215" w:rsidRPr="00751517" w:rsidRDefault="00C04215" w:rsidP="007416FD">
            <w:pPr>
              <w:widowControl/>
              <w:ind w:left="240" w:hangingChars="100" w:hanging="240"/>
              <w:jc w:val="both"/>
              <w:rPr>
                <w:rFonts w:ascii="Times New Roman" w:eastAsia="標楷體" w:hAnsi="Times New Roman" w:hint="eastAsia"/>
              </w:rPr>
            </w:pPr>
            <w:r w:rsidRPr="00751517">
              <w:rPr>
                <w:rFonts w:ascii="Times New Roman" w:eastAsia="標楷體" w:hAnsi="Times New Roman" w:hint="eastAsia"/>
              </w:rPr>
              <w:t xml:space="preserve">第六條　</w:t>
            </w:r>
            <w:r w:rsidRPr="00751517">
              <w:rPr>
                <w:rFonts w:ascii="Times New Roman" w:eastAsia="標楷體" w:hAnsi="細明體"/>
                <w:kern w:val="0"/>
                <w:szCs w:val="24"/>
              </w:rPr>
              <w:t>證券商當日申報成交日後第二營業日給付</w:t>
            </w:r>
            <w:proofErr w:type="gramStart"/>
            <w:r w:rsidRPr="00751517">
              <w:rPr>
                <w:rFonts w:ascii="Times New Roman" w:eastAsia="標楷體" w:hAnsi="細明體"/>
                <w:kern w:val="0"/>
                <w:szCs w:val="24"/>
              </w:rPr>
              <w:t>結算之逐筆</w:t>
            </w:r>
            <w:proofErr w:type="gramEnd"/>
            <w:r w:rsidRPr="00751517">
              <w:rPr>
                <w:rFonts w:ascii="Times New Roman" w:eastAsia="標楷體" w:hAnsi="細明體"/>
                <w:kern w:val="0"/>
                <w:szCs w:val="24"/>
              </w:rPr>
              <w:t>交易買賣申報總金額，適用本中心業務規則第三十五條第</w:t>
            </w:r>
            <w:r w:rsidRPr="00751517">
              <w:rPr>
                <w:rFonts w:ascii="Times New Roman" w:eastAsia="標楷體" w:hAnsi="細明體"/>
                <w:b/>
                <w:bCs/>
                <w:kern w:val="0"/>
                <w:szCs w:val="24"/>
                <w:u w:val="single"/>
              </w:rPr>
              <w:t>七</w:t>
            </w:r>
            <w:r w:rsidRPr="00751517">
              <w:rPr>
                <w:rFonts w:ascii="Times New Roman" w:eastAsia="標楷體" w:hAnsi="細明體"/>
                <w:kern w:val="0"/>
                <w:szCs w:val="24"/>
              </w:rPr>
              <w:t>項至第</w:t>
            </w:r>
            <w:r w:rsidRPr="00751517">
              <w:rPr>
                <w:rFonts w:ascii="Times New Roman" w:eastAsia="標楷體" w:hAnsi="細明體"/>
                <w:b/>
                <w:bCs/>
                <w:kern w:val="0"/>
                <w:szCs w:val="24"/>
                <w:u w:val="single"/>
              </w:rPr>
              <w:t>九</w:t>
            </w:r>
            <w:r w:rsidRPr="00751517">
              <w:rPr>
                <w:rFonts w:ascii="Times New Roman" w:eastAsia="標楷體" w:hAnsi="細明體"/>
                <w:kern w:val="0"/>
                <w:szCs w:val="24"/>
              </w:rPr>
              <w:t>項之規定。但證券商當日申報成交日給付</w:t>
            </w:r>
            <w:proofErr w:type="gramStart"/>
            <w:r w:rsidRPr="00751517">
              <w:rPr>
                <w:rFonts w:ascii="Times New Roman" w:eastAsia="標楷體" w:hAnsi="細明體"/>
                <w:kern w:val="0"/>
                <w:szCs w:val="24"/>
              </w:rPr>
              <w:t>結算之逐筆</w:t>
            </w:r>
            <w:proofErr w:type="gramEnd"/>
            <w:r w:rsidRPr="00751517">
              <w:rPr>
                <w:rFonts w:ascii="Times New Roman" w:eastAsia="標楷體" w:hAnsi="細明體"/>
                <w:kern w:val="0"/>
                <w:szCs w:val="24"/>
              </w:rPr>
              <w:t>交易買賣申報總金額，不在此限。</w:t>
            </w:r>
          </w:p>
          <w:p w:rsidR="00C04215" w:rsidRPr="00751517" w:rsidRDefault="00C04215" w:rsidP="007416FD">
            <w:pPr>
              <w:widowControl/>
              <w:spacing w:beforeLines="50" w:before="180"/>
              <w:ind w:leftChars="100" w:left="240" w:firstLineChars="200" w:firstLine="480"/>
              <w:jc w:val="both"/>
              <w:rPr>
                <w:rFonts w:ascii="Times New Roman" w:eastAsia="標楷體" w:hAnsi="細明體" w:hint="eastAsia"/>
                <w:kern w:val="0"/>
                <w:szCs w:val="24"/>
              </w:rPr>
            </w:pPr>
            <w:r w:rsidRPr="00751517">
              <w:rPr>
                <w:rFonts w:ascii="Times New Roman" w:eastAsia="標楷體" w:hAnsi="細明體"/>
                <w:kern w:val="0"/>
                <w:szCs w:val="24"/>
              </w:rPr>
              <w:t>證券商當日申報成交日給付</w:t>
            </w:r>
            <w:proofErr w:type="gramStart"/>
            <w:r w:rsidRPr="00751517">
              <w:rPr>
                <w:rFonts w:ascii="Times New Roman" w:eastAsia="標楷體" w:hAnsi="細明體"/>
                <w:kern w:val="0"/>
                <w:szCs w:val="24"/>
              </w:rPr>
              <w:t>結算之逐筆</w:t>
            </w:r>
            <w:proofErr w:type="gramEnd"/>
            <w:r w:rsidRPr="00751517">
              <w:rPr>
                <w:rFonts w:ascii="Times New Roman" w:eastAsia="標楷體" w:hAnsi="細明體"/>
                <w:kern w:val="0"/>
                <w:szCs w:val="24"/>
              </w:rPr>
              <w:t>交易，本中心認為必要時，得通知其向本中心繳交成交日給付結算之鉅額買賣申報買進及賣出合計金額五成之保證金，</w:t>
            </w:r>
            <w:proofErr w:type="gramStart"/>
            <w:r w:rsidRPr="00751517">
              <w:rPr>
                <w:rFonts w:ascii="Times New Roman" w:eastAsia="標楷體" w:hAnsi="細明體"/>
                <w:kern w:val="0"/>
                <w:szCs w:val="24"/>
              </w:rPr>
              <w:t>俟</w:t>
            </w:r>
            <w:proofErr w:type="gramEnd"/>
            <w:r w:rsidRPr="00751517">
              <w:rPr>
                <w:rFonts w:ascii="Times New Roman" w:eastAsia="標楷體" w:hAnsi="細明體"/>
                <w:kern w:val="0"/>
                <w:szCs w:val="24"/>
              </w:rPr>
              <w:t>收訖後接受其申報。</w:t>
            </w:r>
          </w:p>
          <w:p w:rsidR="00C04215" w:rsidRPr="00751517" w:rsidRDefault="00C04215" w:rsidP="007416FD">
            <w:pPr>
              <w:widowControl/>
              <w:spacing w:beforeLines="50" w:before="180"/>
              <w:ind w:leftChars="100" w:left="240" w:firstLineChars="200" w:firstLine="480"/>
              <w:jc w:val="both"/>
              <w:rPr>
                <w:rFonts w:ascii="Times New Roman" w:eastAsia="標楷體" w:hAnsi="Times New Roman" w:cs="細明體"/>
                <w:kern w:val="0"/>
                <w:szCs w:val="24"/>
                <w:u w:val="single"/>
              </w:rPr>
            </w:pPr>
            <w:r w:rsidRPr="00751517">
              <w:rPr>
                <w:rFonts w:ascii="Times New Roman" w:eastAsia="標楷體" w:hAnsi="細明體"/>
                <w:kern w:val="0"/>
                <w:szCs w:val="24"/>
              </w:rPr>
              <w:t>前項逐筆交易申報賣出時，如經證券集中保管事業完成圈存全部或部分有價證券，且其結果已傳送至本中心無誤者，所圈存有價證券之賣出金額，不納入前項繳交保證金之計算。</w:t>
            </w:r>
          </w:p>
        </w:tc>
        <w:tc>
          <w:tcPr>
            <w:tcW w:w="3440" w:type="dxa"/>
            <w:tcBorders>
              <w:top w:val="single" w:sz="6" w:space="0" w:color="auto"/>
              <w:bottom w:val="single" w:sz="6" w:space="0" w:color="auto"/>
            </w:tcBorders>
          </w:tcPr>
          <w:p w:rsidR="00C04215" w:rsidRPr="00751517" w:rsidRDefault="00C04215" w:rsidP="007416FD">
            <w:pPr>
              <w:widowControl/>
              <w:ind w:left="5" w:hangingChars="2" w:hanging="5"/>
              <w:jc w:val="both"/>
              <w:rPr>
                <w:rFonts w:ascii="Times New Roman" w:eastAsia="標楷體" w:hAnsi="標楷體"/>
                <w:szCs w:val="24"/>
              </w:rPr>
            </w:pPr>
            <w:r w:rsidRPr="00751517">
              <w:rPr>
                <w:rFonts w:ascii="Times New Roman" w:eastAsia="標楷體" w:hAnsi="Times New Roman" w:hint="eastAsia"/>
                <w:szCs w:val="24"/>
              </w:rPr>
              <w:t>配合</w:t>
            </w:r>
            <w:r w:rsidRPr="00751517">
              <w:rPr>
                <w:rFonts w:ascii="Times New Roman" w:eastAsia="標楷體" w:hAnsi="細明體" w:cs="細明體"/>
                <w:kern w:val="0"/>
                <w:szCs w:val="24"/>
              </w:rPr>
              <w:t>本中心證券商營業處所買賣有價證券業務規則</w:t>
            </w:r>
            <w:r w:rsidRPr="00751517">
              <w:rPr>
                <w:rFonts w:ascii="Times New Roman" w:eastAsia="標楷體" w:hAnsi="細明體" w:cs="細明體" w:hint="eastAsia"/>
                <w:kern w:val="0"/>
                <w:szCs w:val="24"/>
              </w:rPr>
              <w:t>第三十五條之項次調整，</w:t>
            </w:r>
            <w:proofErr w:type="gramStart"/>
            <w:r w:rsidRPr="00751517">
              <w:rPr>
                <w:rFonts w:ascii="Times New Roman" w:eastAsia="標楷體" w:hAnsi="標楷體" w:hint="eastAsia"/>
                <w:szCs w:val="24"/>
              </w:rPr>
              <w:t>爰</w:t>
            </w:r>
            <w:proofErr w:type="gramEnd"/>
            <w:r w:rsidRPr="00751517">
              <w:rPr>
                <w:rFonts w:ascii="Times New Roman" w:eastAsia="標楷體" w:hAnsi="標楷體" w:hint="eastAsia"/>
                <w:szCs w:val="24"/>
              </w:rPr>
              <w:t>修正本條文。</w:t>
            </w:r>
          </w:p>
        </w:tc>
      </w:tr>
      <w:tr w:rsidR="00C04215" w:rsidRPr="00751517" w:rsidTr="007416FD">
        <w:trPr>
          <w:jc w:val="center"/>
        </w:trPr>
        <w:tc>
          <w:tcPr>
            <w:tcW w:w="3439" w:type="dxa"/>
            <w:tcBorders>
              <w:top w:val="single" w:sz="6" w:space="0" w:color="auto"/>
              <w:bottom w:val="single" w:sz="12" w:space="0" w:color="auto"/>
            </w:tcBorders>
          </w:tcPr>
          <w:p w:rsidR="00C04215" w:rsidRPr="00751517" w:rsidRDefault="00C04215" w:rsidP="007416FD">
            <w:pPr>
              <w:widowControl/>
              <w:ind w:left="240" w:hangingChars="100" w:hanging="240"/>
              <w:jc w:val="both"/>
              <w:rPr>
                <w:rFonts w:ascii="Times New Roman" w:eastAsia="標楷體" w:hAnsi="Times New Roman" w:hint="eastAsia"/>
              </w:rPr>
            </w:pPr>
            <w:r w:rsidRPr="00751517">
              <w:rPr>
                <w:rFonts w:ascii="Times New Roman" w:eastAsia="標楷體" w:hAnsi="Times New Roman" w:hint="eastAsia"/>
              </w:rPr>
              <w:t xml:space="preserve">第十三條　</w:t>
            </w:r>
            <w:r w:rsidRPr="00751517">
              <w:rPr>
                <w:rFonts w:ascii="Times New Roman" w:eastAsia="標楷體" w:hAnsi="細明體"/>
                <w:kern w:val="0"/>
                <w:szCs w:val="24"/>
              </w:rPr>
              <w:t>證券商當日申報成交日後第二營業日給付結算之配對交易買賣申報總金額，適用本中心業務規則第三十五條第</w:t>
            </w:r>
            <w:r w:rsidRPr="00751517">
              <w:rPr>
                <w:rFonts w:ascii="Times New Roman" w:eastAsia="標楷體" w:hAnsi="細明體" w:hint="eastAsia"/>
                <w:b/>
                <w:bCs/>
                <w:kern w:val="0"/>
                <w:szCs w:val="24"/>
                <w:u w:val="single"/>
              </w:rPr>
              <w:t>八</w:t>
            </w:r>
            <w:r w:rsidRPr="00751517">
              <w:rPr>
                <w:rFonts w:ascii="Times New Roman" w:eastAsia="標楷體" w:hAnsi="細明體"/>
                <w:kern w:val="0"/>
                <w:szCs w:val="24"/>
              </w:rPr>
              <w:t>項至第</w:t>
            </w:r>
            <w:r w:rsidRPr="00751517">
              <w:rPr>
                <w:rFonts w:ascii="Times New Roman" w:eastAsia="標楷體" w:hAnsi="細明體" w:hint="eastAsia"/>
                <w:b/>
                <w:bCs/>
                <w:kern w:val="0"/>
                <w:szCs w:val="24"/>
                <w:u w:val="single"/>
              </w:rPr>
              <w:t>十</w:t>
            </w:r>
            <w:r w:rsidRPr="00751517">
              <w:rPr>
                <w:rFonts w:ascii="Times New Roman" w:eastAsia="標楷體" w:hAnsi="細明體"/>
                <w:kern w:val="0"/>
                <w:szCs w:val="24"/>
              </w:rPr>
              <w:t>項之規定。但同一證券商當日所申報之同組配對買賣中，買賣互抵後金額</w:t>
            </w:r>
            <w:proofErr w:type="gramStart"/>
            <w:r w:rsidRPr="00751517">
              <w:rPr>
                <w:rFonts w:ascii="Times New Roman" w:eastAsia="標楷體" w:hAnsi="細明體"/>
                <w:kern w:val="0"/>
                <w:szCs w:val="24"/>
              </w:rPr>
              <w:t>為零者</w:t>
            </w:r>
            <w:proofErr w:type="gramEnd"/>
            <w:r w:rsidRPr="00751517">
              <w:rPr>
                <w:rFonts w:ascii="Times New Roman" w:eastAsia="標楷體" w:hAnsi="細明體"/>
                <w:kern w:val="0"/>
                <w:szCs w:val="24"/>
              </w:rPr>
              <w:t>，或證券商當日申報成交日給付結算者，其買賣申報總金額，不在此限</w:t>
            </w:r>
            <w:r w:rsidRPr="00751517">
              <w:rPr>
                <w:rFonts w:ascii="Times New Roman" w:eastAsia="標楷體" w:hAnsi="Times New Roman" w:hint="eastAsia"/>
              </w:rPr>
              <w:t>。</w:t>
            </w:r>
          </w:p>
          <w:p w:rsidR="00C04215" w:rsidRPr="00751517" w:rsidRDefault="00C04215" w:rsidP="007416FD">
            <w:pPr>
              <w:widowControl/>
              <w:spacing w:beforeLines="50" w:before="180"/>
              <w:ind w:leftChars="100" w:left="240" w:firstLineChars="200" w:firstLine="480"/>
              <w:jc w:val="both"/>
              <w:rPr>
                <w:rFonts w:ascii="Times New Roman" w:eastAsia="標楷體" w:hAnsi="細明體" w:hint="eastAsia"/>
                <w:kern w:val="0"/>
                <w:szCs w:val="24"/>
              </w:rPr>
            </w:pPr>
            <w:r w:rsidRPr="00751517">
              <w:rPr>
                <w:rFonts w:ascii="Times New Roman" w:eastAsia="標楷體" w:hAnsi="細明體"/>
                <w:kern w:val="0"/>
                <w:szCs w:val="24"/>
              </w:rPr>
              <w:t>證券商當日申報成交日給付結算之配對交易，本中心認為必要時，得通知其向本中心繳交成交日給付結算之鉅額買賣申報買進及賣出合計金額五成之保證金，</w:t>
            </w:r>
            <w:proofErr w:type="gramStart"/>
            <w:r w:rsidRPr="00751517">
              <w:rPr>
                <w:rFonts w:ascii="Times New Roman" w:eastAsia="標楷體" w:hAnsi="細明體"/>
                <w:kern w:val="0"/>
                <w:szCs w:val="24"/>
              </w:rPr>
              <w:t>俟</w:t>
            </w:r>
            <w:proofErr w:type="gramEnd"/>
            <w:r w:rsidRPr="00751517">
              <w:rPr>
                <w:rFonts w:ascii="Times New Roman" w:eastAsia="標楷體" w:hAnsi="細明體"/>
                <w:kern w:val="0"/>
                <w:szCs w:val="24"/>
              </w:rPr>
              <w:t>收訖後接受其</w:t>
            </w:r>
            <w:r w:rsidRPr="00751517">
              <w:rPr>
                <w:rFonts w:ascii="Times New Roman" w:eastAsia="標楷體" w:hAnsi="細明體"/>
                <w:kern w:val="0"/>
                <w:szCs w:val="24"/>
              </w:rPr>
              <w:lastRenderedPageBreak/>
              <w:t>申報。但同一證券商當日所申報之同組配對買賣中，買賣互抵後金額</w:t>
            </w:r>
            <w:proofErr w:type="gramStart"/>
            <w:r w:rsidRPr="00751517">
              <w:rPr>
                <w:rFonts w:ascii="Times New Roman" w:eastAsia="標楷體" w:hAnsi="細明體"/>
                <w:kern w:val="0"/>
                <w:szCs w:val="24"/>
              </w:rPr>
              <w:t>為零者</w:t>
            </w:r>
            <w:proofErr w:type="gramEnd"/>
            <w:r w:rsidRPr="00751517">
              <w:rPr>
                <w:rFonts w:ascii="Times New Roman" w:eastAsia="標楷體" w:hAnsi="細明體"/>
                <w:kern w:val="0"/>
                <w:szCs w:val="24"/>
              </w:rPr>
              <w:t>，不在此限。</w:t>
            </w:r>
          </w:p>
          <w:p w:rsidR="00C04215" w:rsidRPr="00751517" w:rsidRDefault="00C04215" w:rsidP="007416FD">
            <w:pPr>
              <w:widowControl/>
              <w:spacing w:beforeLines="50" w:before="180"/>
              <w:ind w:leftChars="100" w:left="240" w:firstLineChars="200" w:firstLine="480"/>
              <w:jc w:val="both"/>
              <w:rPr>
                <w:rFonts w:ascii="Times New Roman" w:eastAsia="標楷體" w:hAnsi="細明體"/>
                <w:kern w:val="0"/>
                <w:szCs w:val="24"/>
              </w:rPr>
            </w:pPr>
            <w:r w:rsidRPr="00751517">
              <w:rPr>
                <w:rFonts w:ascii="Times New Roman" w:eastAsia="標楷體" w:hAnsi="細明體"/>
                <w:kern w:val="0"/>
                <w:szCs w:val="24"/>
              </w:rPr>
              <w:t>前項配對交易申報賣出時，如經證券集中保管事業完成圈存全部或部分有價證券，且其結果已傳送至本中心無誤者，所圈存有價證券之賣出金額，不納入前項繳交保證金之計算。</w:t>
            </w:r>
          </w:p>
        </w:tc>
        <w:tc>
          <w:tcPr>
            <w:tcW w:w="3440" w:type="dxa"/>
            <w:tcBorders>
              <w:top w:val="single" w:sz="6" w:space="0" w:color="auto"/>
              <w:bottom w:val="single" w:sz="12" w:space="0" w:color="auto"/>
            </w:tcBorders>
          </w:tcPr>
          <w:p w:rsidR="00C04215" w:rsidRPr="00751517" w:rsidRDefault="00C04215" w:rsidP="007416FD">
            <w:pPr>
              <w:widowControl/>
              <w:ind w:left="240" w:hangingChars="100" w:hanging="240"/>
              <w:jc w:val="both"/>
              <w:rPr>
                <w:rFonts w:ascii="Times New Roman" w:eastAsia="標楷體" w:hAnsi="Times New Roman" w:hint="eastAsia"/>
              </w:rPr>
            </w:pPr>
            <w:r w:rsidRPr="00751517">
              <w:rPr>
                <w:rFonts w:ascii="Times New Roman" w:eastAsia="標楷體" w:hAnsi="Times New Roman" w:hint="eastAsia"/>
              </w:rPr>
              <w:lastRenderedPageBreak/>
              <w:t xml:space="preserve">第十三條　</w:t>
            </w:r>
            <w:r w:rsidRPr="00751517">
              <w:rPr>
                <w:rFonts w:ascii="Times New Roman" w:eastAsia="標楷體" w:hAnsi="細明體"/>
                <w:kern w:val="0"/>
                <w:szCs w:val="24"/>
              </w:rPr>
              <w:t>證券商當日申報成交日後第二營業日給付結算之配對交易買賣申報總金額，適用本中心業務規則第三十五條第</w:t>
            </w:r>
            <w:r w:rsidRPr="00751517">
              <w:rPr>
                <w:rFonts w:ascii="Times New Roman" w:eastAsia="標楷體" w:hAnsi="細明體"/>
                <w:b/>
                <w:bCs/>
                <w:kern w:val="0"/>
                <w:szCs w:val="24"/>
                <w:u w:val="single"/>
              </w:rPr>
              <w:t>七</w:t>
            </w:r>
            <w:r w:rsidRPr="00751517">
              <w:rPr>
                <w:rFonts w:ascii="Times New Roman" w:eastAsia="標楷體" w:hAnsi="細明體"/>
                <w:kern w:val="0"/>
                <w:szCs w:val="24"/>
              </w:rPr>
              <w:t>項至第</w:t>
            </w:r>
            <w:r w:rsidRPr="00751517">
              <w:rPr>
                <w:rFonts w:ascii="Times New Roman" w:eastAsia="標楷體" w:hAnsi="細明體"/>
                <w:b/>
                <w:bCs/>
                <w:kern w:val="0"/>
                <w:szCs w:val="24"/>
                <w:u w:val="single"/>
              </w:rPr>
              <w:t>九</w:t>
            </w:r>
            <w:r w:rsidRPr="00751517">
              <w:rPr>
                <w:rFonts w:ascii="Times New Roman" w:eastAsia="標楷體" w:hAnsi="細明體"/>
                <w:kern w:val="0"/>
                <w:szCs w:val="24"/>
              </w:rPr>
              <w:t>項之規定。但同一證券商當日所申報之同組配對買賣中，買賣互抵後金額</w:t>
            </w:r>
            <w:proofErr w:type="gramStart"/>
            <w:r w:rsidRPr="00751517">
              <w:rPr>
                <w:rFonts w:ascii="Times New Roman" w:eastAsia="標楷體" w:hAnsi="細明體"/>
                <w:kern w:val="0"/>
                <w:szCs w:val="24"/>
              </w:rPr>
              <w:t>為零者</w:t>
            </w:r>
            <w:proofErr w:type="gramEnd"/>
            <w:r w:rsidRPr="00751517">
              <w:rPr>
                <w:rFonts w:ascii="Times New Roman" w:eastAsia="標楷體" w:hAnsi="細明體"/>
                <w:kern w:val="0"/>
                <w:szCs w:val="24"/>
              </w:rPr>
              <w:t>，或證券商當日申報成交日給付結算者，其買賣申報總金額，不在此限</w:t>
            </w:r>
            <w:r w:rsidRPr="00751517">
              <w:rPr>
                <w:rFonts w:ascii="Times New Roman" w:eastAsia="標楷體" w:hAnsi="Times New Roman" w:hint="eastAsia"/>
              </w:rPr>
              <w:t>。</w:t>
            </w:r>
          </w:p>
          <w:p w:rsidR="00C04215" w:rsidRPr="00751517" w:rsidRDefault="00C04215" w:rsidP="007416FD">
            <w:pPr>
              <w:widowControl/>
              <w:spacing w:beforeLines="50" w:before="180"/>
              <w:ind w:leftChars="100" w:left="240" w:firstLineChars="200" w:firstLine="480"/>
              <w:jc w:val="both"/>
              <w:rPr>
                <w:rFonts w:ascii="Times New Roman" w:eastAsia="標楷體" w:hAnsi="細明體" w:hint="eastAsia"/>
                <w:kern w:val="0"/>
                <w:szCs w:val="24"/>
              </w:rPr>
            </w:pPr>
            <w:r w:rsidRPr="00751517">
              <w:rPr>
                <w:rFonts w:ascii="Times New Roman" w:eastAsia="標楷體" w:hAnsi="細明體"/>
                <w:kern w:val="0"/>
                <w:szCs w:val="24"/>
              </w:rPr>
              <w:t>證券商當日申報成交日給付結算之配對交易，本中心認為必要時，得通知其向本中心繳交成交日給付結算之鉅額買賣申報買進及賣出合計金額五成之保證金，</w:t>
            </w:r>
            <w:proofErr w:type="gramStart"/>
            <w:r w:rsidRPr="00751517">
              <w:rPr>
                <w:rFonts w:ascii="Times New Roman" w:eastAsia="標楷體" w:hAnsi="細明體"/>
                <w:kern w:val="0"/>
                <w:szCs w:val="24"/>
              </w:rPr>
              <w:t>俟</w:t>
            </w:r>
            <w:proofErr w:type="gramEnd"/>
            <w:r w:rsidRPr="00751517">
              <w:rPr>
                <w:rFonts w:ascii="Times New Roman" w:eastAsia="標楷體" w:hAnsi="細明體"/>
                <w:kern w:val="0"/>
                <w:szCs w:val="24"/>
              </w:rPr>
              <w:t>收訖後接受其</w:t>
            </w:r>
            <w:r w:rsidRPr="00751517">
              <w:rPr>
                <w:rFonts w:ascii="Times New Roman" w:eastAsia="標楷體" w:hAnsi="細明體"/>
                <w:kern w:val="0"/>
                <w:szCs w:val="24"/>
              </w:rPr>
              <w:lastRenderedPageBreak/>
              <w:t>申報。但同一證券商當日所申報之同組配對買賣中，買賣互抵後金額</w:t>
            </w:r>
            <w:proofErr w:type="gramStart"/>
            <w:r w:rsidRPr="00751517">
              <w:rPr>
                <w:rFonts w:ascii="Times New Roman" w:eastAsia="標楷體" w:hAnsi="細明體"/>
                <w:kern w:val="0"/>
                <w:szCs w:val="24"/>
              </w:rPr>
              <w:t>為零者</w:t>
            </w:r>
            <w:proofErr w:type="gramEnd"/>
            <w:r w:rsidRPr="00751517">
              <w:rPr>
                <w:rFonts w:ascii="Times New Roman" w:eastAsia="標楷體" w:hAnsi="細明體"/>
                <w:kern w:val="0"/>
                <w:szCs w:val="24"/>
              </w:rPr>
              <w:t>，不在此限。</w:t>
            </w:r>
          </w:p>
          <w:p w:rsidR="00C04215" w:rsidRPr="00751517" w:rsidRDefault="00C04215" w:rsidP="007416FD">
            <w:pPr>
              <w:widowControl/>
              <w:spacing w:beforeLines="50" w:before="180"/>
              <w:ind w:leftChars="100" w:left="240" w:firstLineChars="200" w:firstLine="480"/>
              <w:jc w:val="both"/>
              <w:rPr>
                <w:rFonts w:ascii="Times New Roman" w:eastAsia="標楷體" w:hAnsi="細明體"/>
                <w:kern w:val="0"/>
                <w:szCs w:val="24"/>
              </w:rPr>
            </w:pPr>
            <w:r w:rsidRPr="00751517">
              <w:rPr>
                <w:rFonts w:ascii="Times New Roman" w:eastAsia="標楷體" w:hAnsi="細明體"/>
                <w:kern w:val="0"/>
                <w:szCs w:val="24"/>
              </w:rPr>
              <w:t>前項配對交易申報賣出時，如經證券集中保管事業完成圈存全部或部分有價證券，且其結果已傳送至本中心無誤者，所圈存有價證券之賣出金額，不納入前項繳交保證金之計算。</w:t>
            </w:r>
          </w:p>
        </w:tc>
        <w:tc>
          <w:tcPr>
            <w:tcW w:w="3440" w:type="dxa"/>
            <w:tcBorders>
              <w:top w:val="single" w:sz="6" w:space="0" w:color="auto"/>
              <w:bottom w:val="single" w:sz="12" w:space="0" w:color="auto"/>
            </w:tcBorders>
          </w:tcPr>
          <w:p w:rsidR="00C04215" w:rsidRPr="00751517" w:rsidRDefault="00C04215" w:rsidP="007416FD">
            <w:pPr>
              <w:widowControl/>
              <w:jc w:val="both"/>
              <w:rPr>
                <w:rFonts w:ascii="Times New Roman" w:eastAsia="標楷體" w:hAnsi="Times New Roman" w:cs="細明體"/>
                <w:kern w:val="0"/>
                <w:szCs w:val="24"/>
              </w:rPr>
            </w:pPr>
            <w:r w:rsidRPr="00751517">
              <w:rPr>
                <w:rFonts w:ascii="Times New Roman" w:eastAsia="標楷體" w:hAnsi="Times New Roman" w:cs="細明體" w:hint="eastAsia"/>
                <w:kern w:val="0"/>
                <w:szCs w:val="24"/>
              </w:rPr>
              <w:lastRenderedPageBreak/>
              <w:t>修正理由同第六條。</w:t>
            </w:r>
          </w:p>
        </w:tc>
      </w:tr>
    </w:tbl>
    <w:p w:rsidR="00C04215" w:rsidRPr="00751517" w:rsidRDefault="00C04215" w:rsidP="00C04215">
      <w:pPr>
        <w:spacing w:line="20" w:lineRule="exact"/>
      </w:pPr>
      <w:r w:rsidRPr="00751517">
        <w:lastRenderedPageBreak/>
        <w:t xml:space="preserve"> </w:t>
      </w:r>
    </w:p>
    <w:p w:rsidR="00C04215" w:rsidRPr="00A2691D" w:rsidRDefault="00C04215" w:rsidP="00C04215"/>
    <w:p w:rsidR="00813AA7" w:rsidRPr="00C04215" w:rsidRDefault="00C04215"/>
    <w:sectPr w:rsidR="00813AA7" w:rsidRPr="00C04215" w:rsidSect="007C7D55">
      <w:pgSz w:w="11906" w:h="16838"/>
      <w:pgMar w:top="680" w:right="680" w:bottom="680"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215"/>
    <w:rsid w:val="00C04215"/>
    <w:rsid w:val="00C26138"/>
    <w:rsid w:val="00ED26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215"/>
    <w:pPr>
      <w:widowControl w:val="0"/>
    </w:pPr>
    <w:rPr>
      <w:rFonts w:ascii="Calibri" w:eastAsia="新細明體" w:hAnsi="Calibri" w:cs="Times New Roman"/>
    </w:rPr>
  </w:style>
  <w:style w:type="paragraph" w:styleId="1">
    <w:name w:val="heading 1"/>
    <w:basedOn w:val="a"/>
    <w:next w:val="a"/>
    <w:link w:val="10"/>
    <w:qFormat/>
    <w:rsid w:val="00C04215"/>
    <w:pPr>
      <w:keepNext/>
      <w:adjustRightInd w:val="0"/>
      <w:spacing w:afterLines="25" w:after="90" w:line="360" w:lineRule="exact"/>
      <w:jc w:val="center"/>
      <w:textAlignment w:val="baseline"/>
      <w:outlineLvl w:val="0"/>
    </w:pPr>
    <w:rPr>
      <w:rFonts w:ascii="Times New Roman" w:eastAsia="標楷體" w:hAnsi="Arial"/>
      <w:b/>
      <w:bCs/>
      <w:w w:val="67"/>
      <w:kern w:val="0"/>
      <w:sz w:val="32"/>
      <w:szCs w:val="32"/>
      <w:fitText w:val="10319" w:id="-3807749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C04215"/>
    <w:rPr>
      <w:rFonts w:ascii="Times New Roman" w:eastAsia="標楷體" w:hAnsi="Arial" w:cs="Times New Roman"/>
      <w:b/>
      <w:bCs/>
      <w:w w:val="67"/>
      <w:kern w:val="0"/>
      <w:sz w:val="32"/>
      <w:szCs w:val="32"/>
      <w:fitText w:val="10319" w:id="-380774912"/>
    </w:rPr>
  </w:style>
  <w:style w:type="paragraph" w:styleId="HTML">
    <w:name w:val="HTML Preformatted"/>
    <w:basedOn w:val="a"/>
    <w:link w:val="HTML0"/>
    <w:uiPriority w:val="99"/>
    <w:rsid w:val="00C04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olor w:val="000000"/>
      <w:kern w:val="0"/>
      <w:sz w:val="20"/>
      <w:szCs w:val="20"/>
    </w:rPr>
  </w:style>
  <w:style w:type="character" w:customStyle="1" w:styleId="HTML0">
    <w:name w:val="HTML 預設格式 字元"/>
    <w:basedOn w:val="a0"/>
    <w:link w:val="HTML"/>
    <w:uiPriority w:val="99"/>
    <w:rsid w:val="00C04215"/>
    <w:rPr>
      <w:rFonts w:ascii="細明體" w:eastAsia="細明體" w:hAnsi="Courier New" w:cs="Times New Roman"/>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215"/>
    <w:pPr>
      <w:widowControl w:val="0"/>
    </w:pPr>
    <w:rPr>
      <w:rFonts w:ascii="Calibri" w:eastAsia="新細明體" w:hAnsi="Calibri" w:cs="Times New Roman"/>
    </w:rPr>
  </w:style>
  <w:style w:type="paragraph" w:styleId="1">
    <w:name w:val="heading 1"/>
    <w:basedOn w:val="a"/>
    <w:next w:val="a"/>
    <w:link w:val="10"/>
    <w:qFormat/>
    <w:rsid w:val="00C04215"/>
    <w:pPr>
      <w:keepNext/>
      <w:adjustRightInd w:val="0"/>
      <w:spacing w:afterLines="25" w:after="90" w:line="360" w:lineRule="exact"/>
      <w:jc w:val="center"/>
      <w:textAlignment w:val="baseline"/>
      <w:outlineLvl w:val="0"/>
    </w:pPr>
    <w:rPr>
      <w:rFonts w:ascii="Times New Roman" w:eastAsia="標楷體" w:hAnsi="Arial"/>
      <w:b/>
      <w:bCs/>
      <w:w w:val="67"/>
      <w:kern w:val="0"/>
      <w:sz w:val="32"/>
      <w:szCs w:val="32"/>
      <w:fitText w:val="10319" w:id="-3807749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C04215"/>
    <w:rPr>
      <w:rFonts w:ascii="Times New Roman" w:eastAsia="標楷體" w:hAnsi="Arial" w:cs="Times New Roman"/>
      <w:b/>
      <w:bCs/>
      <w:w w:val="67"/>
      <w:kern w:val="0"/>
      <w:sz w:val="32"/>
      <w:szCs w:val="32"/>
      <w:fitText w:val="10319" w:id="-380774912"/>
    </w:rPr>
  </w:style>
  <w:style w:type="paragraph" w:styleId="HTML">
    <w:name w:val="HTML Preformatted"/>
    <w:basedOn w:val="a"/>
    <w:link w:val="HTML0"/>
    <w:uiPriority w:val="99"/>
    <w:rsid w:val="00C042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olor w:val="000000"/>
      <w:kern w:val="0"/>
      <w:sz w:val="20"/>
      <w:szCs w:val="20"/>
    </w:rPr>
  </w:style>
  <w:style w:type="character" w:customStyle="1" w:styleId="HTML0">
    <w:name w:val="HTML 預設格式 字元"/>
    <w:basedOn w:val="a0"/>
    <w:link w:val="HTML"/>
    <w:uiPriority w:val="99"/>
    <w:rsid w:val="00C04215"/>
    <w:rPr>
      <w:rFonts w:ascii="細明體" w:eastAsia="細明體" w:hAnsi="Courier New" w:cs="Times New Roman"/>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1078</Characters>
  <Application>Microsoft Office Word</Application>
  <DocSecurity>0</DocSecurity>
  <Lines>8</Lines>
  <Paragraphs>2</Paragraphs>
  <ScaleCrop>false</ScaleCrop>
  <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張翠蘭</dc:creator>
  <cp:lastModifiedBy>張翠蘭</cp:lastModifiedBy>
  <cp:revision>1</cp:revision>
  <dcterms:created xsi:type="dcterms:W3CDTF">2015-06-18T03:00:00Z</dcterms:created>
  <dcterms:modified xsi:type="dcterms:W3CDTF">2015-06-18T03:01:00Z</dcterms:modified>
</cp:coreProperties>
</file>