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AB4EA" w14:textId="5D0AA4AA" w:rsidR="000B592B" w:rsidRPr="00D112C3" w:rsidRDefault="00811AB4" w:rsidP="000B592B">
      <w:pPr>
        <w:spacing w:line="0" w:lineRule="atLeast"/>
        <w:jc w:val="center"/>
        <w:rPr>
          <w:rFonts w:ascii="標楷體" w:eastAsia="標楷體" w:hAnsi="標楷體"/>
          <w:b/>
          <w:sz w:val="31"/>
          <w:szCs w:val="31"/>
        </w:rPr>
      </w:pPr>
      <w:r w:rsidRPr="00D112C3">
        <w:rPr>
          <w:rFonts w:ascii="標楷體" w:eastAsia="標楷體" w:hAnsi="標楷體" w:hint="eastAsia"/>
          <w:b/>
          <w:sz w:val="31"/>
          <w:szCs w:val="31"/>
        </w:rPr>
        <w:t>財團法人中華民國證券櫃檯買賣中心</w:t>
      </w:r>
      <w:r w:rsidR="000B592B" w:rsidRPr="00D112C3">
        <w:rPr>
          <w:rFonts w:ascii="標楷體" w:eastAsia="標楷體" w:hAnsi="標楷體" w:hint="eastAsia"/>
          <w:b/>
          <w:sz w:val="31"/>
          <w:szCs w:val="31"/>
        </w:rPr>
        <w:t>股票造市</w:t>
      </w:r>
      <w:r w:rsidR="000B592B" w:rsidRPr="00D112C3">
        <w:rPr>
          <w:rFonts w:ascii="標楷體" w:eastAsia="標楷體" w:hAnsi="標楷體"/>
          <w:b/>
          <w:sz w:val="31"/>
          <w:szCs w:val="31"/>
        </w:rPr>
        <w:t>者</w:t>
      </w:r>
      <w:r w:rsidR="000B592B" w:rsidRPr="00D112C3">
        <w:rPr>
          <w:rFonts w:ascii="標楷體" w:eastAsia="標楷體" w:hAnsi="標楷體" w:hint="eastAsia"/>
          <w:b/>
          <w:sz w:val="31"/>
          <w:szCs w:val="31"/>
        </w:rPr>
        <w:t>及</w:t>
      </w:r>
      <w:r w:rsidR="004E1193" w:rsidRPr="00D112C3">
        <w:rPr>
          <w:rFonts w:ascii="標楷體" w:eastAsia="標楷體" w:hAnsi="標楷體" w:hint="eastAsia"/>
          <w:b/>
          <w:sz w:val="31"/>
          <w:szCs w:val="31"/>
        </w:rPr>
        <w:t>交易獎勵參與者</w:t>
      </w:r>
      <w:r w:rsidR="00A65742" w:rsidRPr="00D112C3">
        <w:rPr>
          <w:rFonts w:ascii="標楷體" w:eastAsia="標楷體" w:hAnsi="標楷體" w:hint="eastAsia"/>
          <w:b/>
          <w:sz w:val="31"/>
          <w:szCs w:val="31"/>
        </w:rPr>
        <w:t>業務服務費</w:t>
      </w:r>
      <w:r w:rsidR="000B592B" w:rsidRPr="00D112C3">
        <w:rPr>
          <w:rFonts w:ascii="標楷體" w:eastAsia="標楷體" w:hAnsi="標楷體" w:hint="eastAsia"/>
          <w:b/>
          <w:sz w:val="31"/>
          <w:szCs w:val="31"/>
        </w:rPr>
        <w:t>折讓標準</w:t>
      </w:r>
      <w:r w:rsidR="0015787C" w:rsidRPr="00D112C3">
        <w:rPr>
          <w:rFonts w:ascii="標楷體" w:eastAsia="標楷體" w:hAnsi="標楷體" w:hint="eastAsia"/>
          <w:b/>
          <w:sz w:val="31"/>
          <w:szCs w:val="31"/>
        </w:rPr>
        <w:t>總說明</w:t>
      </w:r>
    </w:p>
    <w:p w14:paraId="720B5F1B" w14:textId="1DC1BA14" w:rsidR="000B592B" w:rsidRPr="00D112C3" w:rsidRDefault="000B592B" w:rsidP="000B592B">
      <w:pPr>
        <w:spacing w:line="440" w:lineRule="exact"/>
        <w:ind w:firstLineChars="200" w:firstLine="560"/>
        <w:rPr>
          <w:rFonts w:ascii="標楷體" w:eastAsia="標楷體" w:hAnsi="標楷體"/>
          <w:sz w:val="28"/>
          <w:szCs w:val="28"/>
        </w:rPr>
      </w:pPr>
      <w:r w:rsidRPr="00D112C3">
        <w:rPr>
          <w:rFonts w:ascii="標楷體" w:eastAsia="標楷體" w:hAnsi="標楷體" w:hint="eastAsia"/>
          <w:sz w:val="28"/>
          <w:szCs w:val="28"/>
        </w:rPr>
        <w:t>為</w:t>
      </w:r>
      <w:r w:rsidR="00CC54DC" w:rsidRPr="00D112C3">
        <w:rPr>
          <w:rFonts w:ascii="標楷體" w:eastAsia="標楷體" w:hAnsi="標楷體" w:hint="eastAsia"/>
          <w:sz w:val="28"/>
          <w:szCs w:val="28"/>
        </w:rPr>
        <w:t>獎勵績效良好之股票造市者及</w:t>
      </w:r>
      <w:r w:rsidR="004E1193" w:rsidRPr="00D112C3">
        <w:rPr>
          <w:rFonts w:ascii="標楷體" w:eastAsia="標楷體" w:hAnsi="標楷體" w:hint="eastAsia"/>
          <w:sz w:val="28"/>
          <w:szCs w:val="28"/>
        </w:rPr>
        <w:t>交易獎勵參與者</w:t>
      </w:r>
      <w:r w:rsidR="00CC54DC" w:rsidRPr="00D112C3">
        <w:rPr>
          <w:rFonts w:ascii="標楷體" w:eastAsia="標楷體" w:hAnsi="標楷體" w:hint="eastAsia"/>
          <w:sz w:val="28"/>
          <w:szCs w:val="28"/>
        </w:rPr>
        <w:t>，提高持續參與意願，</w:t>
      </w:r>
      <w:proofErr w:type="gramStart"/>
      <w:r w:rsidRPr="00D112C3">
        <w:rPr>
          <w:rFonts w:ascii="標楷體" w:eastAsia="標楷體" w:hAnsi="標楷體" w:hint="eastAsia"/>
          <w:sz w:val="28"/>
          <w:szCs w:val="28"/>
        </w:rPr>
        <w:t>爰</w:t>
      </w:r>
      <w:proofErr w:type="gramEnd"/>
      <w:r w:rsidRPr="00D112C3">
        <w:rPr>
          <w:rFonts w:ascii="標楷體" w:eastAsia="標楷體" w:hAnsi="標楷體" w:hint="eastAsia"/>
          <w:sz w:val="28"/>
          <w:szCs w:val="28"/>
        </w:rPr>
        <w:t>訂定</w:t>
      </w:r>
      <w:r w:rsidR="00CC54DC" w:rsidRPr="00D112C3">
        <w:rPr>
          <w:rFonts w:ascii="標楷體" w:eastAsia="標楷體" w:hAnsi="標楷體" w:hint="eastAsia"/>
          <w:sz w:val="28"/>
          <w:szCs w:val="28"/>
        </w:rPr>
        <w:t>本</w:t>
      </w:r>
      <w:r w:rsidR="00A65742" w:rsidRPr="00D112C3">
        <w:rPr>
          <w:rFonts w:ascii="標楷體" w:eastAsia="標楷體" w:hAnsi="標楷體" w:hint="eastAsia"/>
          <w:sz w:val="28"/>
          <w:szCs w:val="28"/>
        </w:rPr>
        <w:t>業務服務費</w:t>
      </w:r>
      <w:r w:rsidR="00CC54DC" w:rsidRPr="00D112C3">
        <w:rPr>
          <w:rFonts w:ascii="標楷體" w:eastAsia="標楷體" w:hAnsi="標楷體" w:hint="eastAsia"/>
          <w:sz w:val="28"/>
          <w:szCs w:val="28"/>
        </w:rPr>
        <w:t>折讓標準</w:t>
      </w:r>
      <w:r w:rsidRPr="00D112C3">
        <w:rPr>
          <w:rFonts w:ascii="標楷體" w:eastAsia="標楷體" w:hAnsi="標楷體" w:hint="eastAsia"/>
          <w:sz w:val="28"/>
          <w:szCs w:val="28"/>
        </w:rPr>
        <w:t>，條文共計</w:t>
      </w:r>
      <w:r w:rsidR="00F53AB6" w:rsidRPr="00D112C3">
        <w:rPr>
          <w:rFonts w:ascii="標楷體" w:eastAsia="標楷體" w:hAnsi="標楷體" w:hint="eastAsia"/>
          <w:sz w:val="28"/>
          <w:szCs w:val="28"/>
        </w:rPr>
        <w:t>五</w:t>
      </w:r>
      <w:r w:rsidRPr="00D112C3">
        <w:rPr>
          <w:rFonts w:ascii="標楷體" w:eastAsia="標楷體" w:hAnsi="標楷體" w:hint="eastAsia"/>
          <w:sz w:val="28"/>
          <w:szCs w:val="28"/>
        </w:rPr>
        <w:t>條，</w:t>
      </w:r>
      <w:proofErr w:type="gramStart"/>
      <w:r w:rsidRPr="00D112C3">
        <w:rPr>
          <w:rFonts w:ascii="標楷體" w:eastAsia="標楷體" w:hAnsi="標楷體" w:hint="eastAsia"/>
          <w:sz w:val="28"/>
          <w:szCs w:val="28"/>
        </w:rPr>
        <w:t>摘述要點</w:t>
      </w:r>
      <w:proofErr w:type="gramEnd"/>
      <w:r w:rsidRPr="00D112C3">
        <w:rPr>
          <w:rFonts w:ascii="標楷體" w:eastAsia="標楷體" w:hAnsi="標楷體" w:hint="eastAsia"/>
          <w:sz w:val="28"/>
          <w:szCs w:val="28"/>
        </w:rPr>
        <w:t>如下：</w:t>
      </w:r>
    </w:p>
    <w:p w14:paraId="394C7071" w14:textId="726A6881" w:rsidR="000B592B" w:rsidRPr="00D112C3" w:rsidRDefault="000B592B" w:rsidP="000B592B">
      <w:pPr>
        <w:spacing w:line="440" w:lineRule="exact"/>
        <w:ind w:left="560" w:hangingChars="200" w:hanging="560"/>
        <w:rPr>
          <w:rFonts w:ascii="標楷體" w:eastAsia="標楷體" w:hAnsi="標楷體"/>
          <w:sz w:val="28"/>
          <w:szCs w:val="28"/>
        </w:rPr>
      </w:pPr>
      <w:r w:rsidRPr="00D112C3">
        <w:rPr>
          <w:rFonts w:ascii="標楷體" w:eastAsia="標楷體" w:hAnsi="標楷體" w:hint="eastAsia"/>
          <w:sz w:val="28"/>
          <w:szCs w:val="28"/>
        </w:rPr>
        <w:t>一、明定</w:t>
      </w:r>
      <w:r w:rsidR="00443538" w:rsidRPr="00D112C3">
        <w:rPr>
          <w:rFonts w:ascii="標楷體" w:eastAsia="標楷體" w:hAnsi="標楷體" w:hint="eastAsia"/>
          <w:sz w:val="28"/>
          <w:szCs w:val="28"/>
        </w:rPr>
        <w:t>提供</w:t>
      </w:r>
      <w:r w:rsidRPr="00D112C3">
        <w:rPr>
          <w:rFonts w:ascii="Times New Roman" w:eastAsia="標楷體" w:hAnsi="Times New Roman" w:hint="eastAsia"/>
          <w:sz w:val="28"/>
          <w:szCs w:val="28"/>
        </w:rPr>
        <w:t>股票造市者及</w:t>
      </w:r>
      <w:r w:rsidR="004E1193" w:rsidRPr="00D112C3">
        <w:rPr>
          <w:rFonts w:ascii="Times New Roman" w:eastAsia="標楷體" w:hAnsi="Times New Roman" w:hint="eastAsia"/>
          <w:sz w:val="28"/>
          <w:szCs w:val="28"/>
        </w:rPr>
        <w:t>交易獎勵參與者</w:t>
      </w:r>
      <w:r w:rsidR="00A65742" w:rsidRPr="00D112C3">
        <w:rPr>
          <w:rFonts w:ascii="Times New Roman" w:eastAsia="標楷體" w:hAnsi="Times New Roman" w:hint="eastAsia"/>
          <w:sz w:val="28"/>
          <w:szCs w:val="28"/>
        </w:rPr>
        <w:t>業務服務費</w:t>
      </w:r>
      <w:r w:rsidR="00443538" w:rsidRPr="00D112C3">
        <w:rPr>
          <w:rFonts w:ascii="Times New Roman" w:eastAsia="標楷體" w:hAnsi="Times New Roman" w:hint="eastAsia"/>
          <w:sz w:val="28"/>
          <w:szCs w:val="28"/>
        </w:rPr>
        <w:t>折讓</w:t>
      </w:r>
      <w:r w:rsidRPr="00D112C3">
        <w:rPr>
          <w:rFonts w:ascii="標楷體" w:eastAsia="標楷體" w:hAnsi="標楷體" w:hint="eastAsia"/>
          <w:sz w:val="28"/>
          <w:szCs w:val="28"/>
        </w:rPr>
        <w:t>之依據。(第一條)</w:t>
      </w:r>
    </w:p>
    <w:p w14:paraId="44826C9A" w14:textId="4AF7C6F3" w:rsidR="000B592B" w:rsidRPr="00D112C3" w:rsidRDefault="000B592B" w:rsidP="000B592B">
      <w:pPr>
        <w:spacing w:line="440" w:lineRule="exact"/>
        <w:ind w:left="560" w:hangingChars="200" w:hanging="560"/>
        <w:rPr>
          <w:rFonts w:ascii="標楷體" w:eastAsia="標楷體" w:hAnsi="標楷體"/>
          <w:sz w:val="28"/>
          <w:szCs w:val="28"/>
        </w:rPr>
      </w:pPr>
      <w:r w:rsidRPr="00D112C3">
        <w:rPr>
          <w:rFonts w:ascii="標楷體" w:eastAsia="標楷體" w:hAnsi="標楷體" w:hint="eastAsia"/>
          <w:sz w:val="28"/>
          <w:szCs w:val="28"/>
        </w:rPr>
        <w:t>二、明定</w:t>
      </w:r>
      <w:r w:rsidR="00443538" w:rsidRPr="00D112C3">
        <w:rPr>
          <w:rFonts w:ascii="標楷體" w:eastAsia="標楷體" w:hAnsi="標楷體" w:hint="eastAsia"/>
          <w:sz w:val="28"/>
          <w:szCs w:val="28"/>
        </w:rPr>
        <w:t>股票</w:t>
      </w:r>
      <w:r w:rsidR="00443538" w:rsidRPr="00D112C3">
        <w:rPr>
          <w:rFonts w:ascii="Times New Roman" w:eastAsia="標楷體" w:hAnsi="Times New Roman" w:hint="eastAsia"/>
          <w:sz w:val="28"/>
          <w:szCs w:val="28"/>
        </w:rPr>
        <w:t>造市者</w:t>
      </w:r>
      <w:r w:rsidR="007315BA" w:rsidRPr="00D112C3">
        <w:rPr>
          <w:rFonts w:ascii="Times New Roman" w:eastAsia="標楷體" w:hAnsi="Times New Roman" w:hint="eastAsia"/>
          <w:sz w:val="28"/>
          <w:szCs w:val="28"/>
        </w:rPr>
        <w:t>-</w:t>
      </w:r>
      <w:r w:rsidR="00443538" w:rsidRPr="00D112C3">
        <w:rPr>
          <w:rFonts w:ascii="Times New Roman" w:eastAsia="標楷體" w:hAnsi="Times New Roman" w:hint="eastAsia"/>
          <w:sz w:val="28"/>
          <w:szCs w:val="28"/>
        </w:rPr>
        <w:t>成交獎勵</w:t>
      </w:r>
      <w:r w:rsidR="00A65742" w:rsidRPr="00D112C3">
        <w:rPr>
          <w:rFonts w:ascii="Times New Roman" w:eastAsia="標楷體" w:hAnsi="Times New Roman" w:hint="eastAsia"/>
          <w:sz w:val="28"/>
          <w:szCs w:val="28"/>
        </w:rPr>
        <w:t>業務服務費</w:t>
      </w:r>
      <w:r w:rsidR="00A12578" w:rsidRPr="00D112C3">
        <w:rPr>
          <w:rFonts w:ascii="Times New Roman" w:eastAsia="標楷體" w:hAnsi="Times New Roman" w:hint="eastAsia"/>
          <w:sz w:val="28"/>
          <w:szCs w:val="28"/>
        </w:rPr>
        <w:t>折讓</w:t>
      </w:r>
      <w:r w:rsidR="00443538" w:rsidRPr="00D112C3">
        <w:rPr>
          <w:rFonts w:ascii="Times New Roman" w:eastAsia="標楷體" w:hAnsi="Times New Roman" w:hint="eastAsia"/>
          <w:sz w:val="28"/>
          <w:szCs w:val="28"/>
        </w:rPr>
        <w:t>方式</w:t>
      </w:r>
      <w:r w:rsidRPr="00D112C3">
        <w:rPr>
          <w:rFonts w:ascii="標楷體" w:eastAsia="標楷體" w:hAnsi="標楷體" w:hint="eastAsia"/>
          <w:sz w:val="28"/>
          <w:szCs w:val="28"/>
        </w:rPr>
        <w:t>。(第二條)</w:t>
      </w:r>
    </w:p>
    <w:p w14:paraId="5A8D29B5" w14:textId="4EB0A71D" w:rsidR="000B592B" w:rsidRPr="00D112C3" w:rsidRDefault="000B592B" w:rsidP="000B592B">
      <w:pPr>
        <w:spacing w:line="440" w:lineRule="exact"/>
        <w:ind w:left="560" w:hangingChars="200" w:hanging="560"/>
        <w:rPr>
          <w:rFonts w:ascii="標楷體" w:eastAsia="標楷體" w:hAnsi="標楷體"/>
          <w:sz w:val="28"/>
          <w:szCs w:val="28"/>
        </w:rPr>
      </w:pPr>
      <w:r w:rsidRPr="00D112C3">
        <w:rPr>
          <w:rFonts w:ascii="標楷體" w:eastAsia="標楷體" w:hAnsi="標楷體" w:hint="eastAsia"/>
          <w:sz w:val="28"/>
          <w:szCs w:val="28"/>
        </w:rPr>
        <w:t>三、明定</w:t>
      </w:r>
      <w:r w:rsidR="00443538" w:rsidRPr="00D112C3">
        <w:rPr>
          <w:rFonts w:ascii="Times New Roman" w:eastAsia="標楷體" w:hAnsi="Times New Roman" w:hint="eastAsia"/>
          <w:sz w:val="28"/>
          <w:szCs w:val="28"/>
        </w:rPr>
        <w:t>股票造市者</w:t>
      </w:r>
      <w:r w:rsidR="007315BA" w:rsidRPr="00D112C3">
        <w:rPr>
          <w:rFonts w:ascii="Times New Roman" w:eastAsia="標楷體" w:hAnsi="Times New Roman" w:hint="eastAsia"/>
          <w:sz w:val="28"/>
          <w:szCs w:val="28"/>
        </w:rPr>
        <w:t>-</w:t>
      </w:r>
      <w:r w:rsidR="00443538" w:rsidRPr="00D112C3">
        <w:rPr>
          <w:rFonts w:ascii="Times New Roman" w:eastAsia="標楷體" w:hAnsi="Times New Roman" w:hint="eastAsia"/>
          <w:sz w:val="28"/>
          <w:szCs w:val="28"/>
        </w:rPr>
        <w:t>報價獎勵</w:t>
      </w:r>
      <w:r w:rsidR="00A65742" w:rsidRPr="00D112C3">
        <w:rPr>
          <w:rFonts w:ascii="Times New Roman" w:eastAsia="標楷體" w:hAnsi="Times New Roman" w:hint="eastAsia"/>
          <w:sz w:val="28"/>
          <w:szCs w:val="28"/>
        </w:rPr>
        <w:t>業務服務費</w:t>
      </w:r>
      <w:r w:rsidR="00A12578" w:rsidRPr="00D112C3">
        <w:rPr>
          <w:rFonts w:ascii="Times New Roman" w:eastAsia="標楷體" w:hAnsi="Times New Roman" w:hint="eastAsia"/>
          <w:sz w:val="28"/>
          <w:szCs w:val="28"/>
        </w:rPr>
        <w:t>折讓</w:t>
      </w:r>
      <w:r w:rsidR="00443538" w:rsidRPr="00D112C3">
        <w:rPr>
          <w:rFonts w:ascii="Times New Roman" w:eastAsia="標楷體" w:hAnsi="Times New Roman" w:hint="eastAsia"/>
          <w:sz w:val="28"/>
          <w:szCs w:val="28"/>
        </w:rPr>
        <w:t>方式。</w:t>
      </w:r>
      <w:r w:rsidRPr="00D112C3">
        <w:rPr>
          <w:rFonts w:ascii="標楷體" w:eastAsia="標楷體" w:hAnsi="標楷體" w:hint="eastAsia"/>
          <w:sz w:val="28"/>
          <w:szCs w:val="28"/>
        </w:rPr>
        <w:t>(第三條)</w:t>
      </w:r>
    </w:p>
    <w:p w14:paraId="7485F5D1" w14:textId="3EA04845" w:rsidR="000B592B" w:rsidRPr="00D112C3" w:rsidRDefault="000B592B" w:rsidP="000B592B">
      <w:pPr>
        <w:spacing w:line="440" w:lineRule="exact"/>
        <w:ind w:left="560" w:hangingChars="200" w:hanging="560"/>
        <w:rPr>
          <w:rFonts w:ascii="標楷體" w:eastAsia="標楷體" w:hAnsi="標楷體"/>
          <w:sz w:val="28"/>
          <w:szCs w:val="28"/>
        </w:rPr>
      </w:pPr>
      <w:r w:rsidRPr="00D112C3">
        <w:rPr>
          <w:rFonts w:ascii="標楷體" w:eastAsia="標楷體" w:hAnsi="標楷體" w:hint="eastAsia"/>
          <w:sz w:val="28"/>
          <w:szCs w:val="28"/>
        </w:rPr>
        <w:t>四、明定</w:t>
      </w:r>
      <w:r w:rsidR="004E1193" w:rsidRPr="00D112C3">
        <w:rPr>
          <w:rFonts w:ascii="Times New Roman" w:eastAsia="標楷體" w:hAnsi="Times New Roman" w:hint="eastAsia"/>
          <w:sz w:val="28"/>
          <w:szCs w:val="28"/>
        </w:rPr>
        <w:t>交易獎勵參與者</w:t>
      </w:r>
      <w:r w:rsidR="00A65742" w:rsidRPr="00D112C3">
        <w:rPr>
          <w:rFonts w:ascii="Times New Roman" w:eastAsia="標楷體" w:hAnsi="Times New Roman" w:hint="eastAsia"/>
          <w:sz w:val="28"/>
          <w:szCs w:val="28"/>
        </w:rPr>
        <w:t>業務服務費</w:t>
      </w:r>
      <w:r w:rsidR="00A12578" w:rsidRPr="00D112C3">
        <w:rPr>
          <w:rFonts w:ascii="Times New Roman" w:eastAsia="標楷體" w:hAnsi="Times New Roman" w:hint="eastAsia"/>
          <w:sz w:val="28"/>
          <w:szCs w:val="28"/>
        </w:rPr>
        <w:t>折讓</w:t>
      </w:r>
      <w:r w:rsidR="00443538" w:rsidRPr="00D112C3">
        <w:rPr>
          <w:rFonts w:ascii="Times New Roman" w:eastAsia="標楷體" w:hAnsi="Times New Roman" w:hint="eastAsia"/>
          <w:sz w:val="28"/>
          <w:szCs w:val="28"/>
        </w:rPr>
        <w:t>方式</w:t>
      </w:r>
      <w:r w:rsidRPr="00D112C3">
        <w:rPr>
          <w:rFonts w:ascii="標楷體" w:eastAsia="標楷體" w:hAnsi="標楷體" w:hint="eastAsia"/>
          <w:sz w:val="28"/>
          <w:szCs w:val="28"/>
        </w:rPr>
        <w:t>。(第四條)</w:t>
      </w:r>
    </w:p>
    <w:p w14:paraId="523456CC" w14:textId="77777777" w:rsidR="000B592B" w:rsidRPr="00D112C3" w:rsidRDefault="000B592B" w:rsidP="00464117">
      <w:pPr>
        <w:spacing w:line="440" w:lineRule="exact"/>
        <w:ind w:left="560" w:hangingChars="200" w:hanging="560"/>
        <w:rPr>
          <w:rFonts w:ascii="標楷體" w:eastAsia="標楷體" w:hAnsi="標楷體"/>
          <w:sz w:val="28"/>
          <w:szCs w:val="28"/>
        </w:rPr>
      </w:pPr>
      <w:r w:rsidRPr="00D112C3">
        <w:rPr>
          <w:rFonts w:ascii="標楷體" w:eastAsia="標楷體" w:hAnsi="標楷體" w:hint="eastAsia"/>
          <w:sz w:val="28"/>
          <w:szCs w:val="28"/>
        </w:rPr>
        <w:t>五、</w:t>
      </w:r>
      <w:r w:rsidR="0031506E" w:rsidRPr="00D112C3">
        <w:rPr>
          <w:rFonts w:ascii="標楷體" w:eastAsia="標楷體" w:hAnsi="標楷體" w:hint="eastAsia"/>
          <w:sz w:val="28"/>
          <w:szCs w:val="28"/>
        </w:rPr>
        <w:t>明定</w:t>
      </w:r>
      <w:r w:rsidR="009529B7" w:rsidRPr="00D112C3">
        <w:rPr>
          <w:rFonts w:ascii="標楷體" w:eastAsia="標楷體" w:hAnsi="標楷體" w:hint="eastAsia"/>
          <w:sz w:val="28"/>
          <w:szCs w:val="28"/>
        </w:rPr>
        <w:t>本標準</w:t>
      </w:r>
      <w:r w:rsidR="0031506E" w:rsidRPr="00D112C3">
        <w:rPr>
          <w:rFonts w:ascii="標楷體" w:eastAsia="標楷體" w:hAnsi="標楷體" w:hint="eastAsia"/>
          <w:sz w:val="28"/>
          <w:szCs w:val="28"/>
        </w:rPr>
        <w:t>於修訂時，須經主管機關備查後方得實施。(第</w:t>
      </w:r>
      <w:r w:rsidR="00CF5EE0" w:rsidRPr="00D112C3">
        <w:rPr>
          <w:rFonts w:ascii="標楷體" w:eastAsia="標楷體" w:hAnsi="標楷體" w:hint="eastAsia"/>
          <w:sz w:val="28"/>
          <w:szCs w:val="28"/>
        </w:rPr>
        <w:t>五</w:t>
      </w:r>
      <w:r w:rsidR="0031506E" w:rsidRPr="00D112C3">
        <w:rPr>
          <w:rFonts w:ascii="標楷體" w:eastAsia="標楷體" w:hAnsi="標楷體" w:hint="eastAsia"/>
          <w:sz w:val="28"/>
          <w:szCs w:val="28"/>
        </w:rPr>
        <w:t>條)</w:t>
      </w:r>
    </w:p>
    <w:p w14:paraId="3CF2C453" w14:textId="77777777" w:rsidR="000B592B" w:rsidRPr="00D112C3" w:rsidRDefault="000B592B" w:rsidP="00443538">
      <w:pPr>
        <w:spacing w:line="440" w:lineRule="exact"/>
        <w:ind w:left="561" w:hangingChars="200" w:hanging="561"/>
        <w:rPr>
          <w:rFonts w:ascii="標楷體" w:eastAsia="標楷體" w:hAnsi="標楷體"/>
          <w:b/>
          <w:sz w:val="28"/>
          <w:szCs w:val="28"/>
        </w:rPr>
        <w:sectPr w:rsidR="000B592B" w:rsidRPr="00D112C3">
          <w:footerReference w:type="default" r:id="rId7"/>
          <w:pgSz w:w="11906" w:h="16838"/>
          <w:pgMar w:top="1440" w:right="1800" w:bottom="1440" w:left="1800" w:header="851" w:footer="992" w:gutter="0"/>
          <w:cols w:space="425"/>
          <w:docGrid w:type="lines" w:linePitch="360"/>
        </w:sectPr>
      </w:pPr>
    </w:p>
    <w:p w14:paraId="4862736D" w14:textId="6E465970" w:rsidR="00036EAD" w:rsidRPr="00D112C3" w:rsidRDefault="00D04E36" w:rsidP="00CC54DC">
      <w:pPr>
        <w:spacing w:line="0" w:lineRule="atLeast"/>
        <w:jc w:val="center"/>
        <w:rPr>
          <w:rFonts w:ascii="標楷體" w:eastAsia="標楷體" w:hAnsi="標楷體"/>
          <w:b/>
          <w:sz w:val="28"/>
          <w:szCs w:val="28"/>
        </w:rPr>
      </w:pPr>
      <w:r w:rsidRPr="00D112C3">
        <w:rPr>
          <w:rFonts w:ascii="標楷體" w:eastAsia="標楷體" w:hAnsi="標楷體" w:hint="eastAsia"/>
          <w:b/>
          <w:sz w:val="28"/>
          <w:szCs w:val="28"/>
        </w:rPr>
        <w:lastRenderedPageBreak/>
        <w:t>財團法人中華民國證券櫃檯買賣中心</w:t>
      </w:r>
      <w:r w:rsidR="00AD14A5" w:rsidRPr="00D112C3">
        <w:rPr>
          <w:rFonts w:ascii="標楷體" w:eastAsia="標楷體" w:hAnsi="標楷體" w:hint="eastAsia"/>
          <w:b/>
          <w:sz w:val="28"/>
          <w:szCs w:val="28"/>
        </w:rPr>
        <w:t>股票造市</w:t>
      </w:r>
      <w:r w:rsidR="00AD14A5" w:rsidRPr="00D112C3">
        <w:rPr>
          <w:rFonts w:ascii="標楷體" w:eastAsia="標楷體" w:hAnsi="標楷體"/>
          <w:b/>
          <w:sz w:val="28"/>
          <w:szCs w:val="28"/>
        </w:rPr>
        <w:t>者</w:t>
      </w:r>
      <w:r w:rsidR="00AD14A5" w:rsidRPr="00D112C3">
        <w:rPr>
          <w:rFonts w:ascii="標楷體" w:eastAsia="標楷體" w:hAnsi="標楷體" w:hint="eastAsia"/>
          <w:b/>
          <w:sz w:val="28"/>
          <w:szCs w:val="28"/>
        </w:rPr>
        <w:t>及</w:t>
      </w:r>
      <w:r w:rsidR="004E1193" w:rsidRPr="00D112C3">
        <w:rPr>
          <w:rFonts w:ascii="標楷體" w:eastAsia="標楷體" w:hAnsi="標楷體" w:hint="eastAsia"/>
          <w:b/>
          <w:sz w:val="28"/>
          <w:szCs w:val="28"/>
        </w:rPr>
        <w:t>交易獎勵參與者</w:t>
      </w:r>
      <w:r w:rsidR="00A65742" w:rsidRPr="00D112C3">
        <w:rPr>
          <w:rFonts w:ascii="標楷體" w:eastAsia="標楷體" w:hAnsi="標楷體" w:hint="eastAsia"/>
          <w:b/>
          <w:sz w:val="28"/>
          <w:szCs w:val="28"/>
        </w:rPr>
        <w:t>業務服務費</w:t>
      </w:r>
      <w:r w:rsidR="00AD14A5" w:rsidRPr="00D112C3">
        <w:rPr>
          <w:rFonts w:ascii="標楷體" w:eastAsia="標楷體" w:hAnsi="標楷體" w:hint="eastAsia"/>
          <w:b/>
          <w:sz w:val="28"/>
          <w:szCs w:val="28"/>
        </w:rPr>
        <w:t>折讓標準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077383" w:rsidRPr="00D112C3" w14:paraId="21D9F4F9" w14:textId="77777777" w:rsidTr="00116BAC">
        <w:trPr>
          <w:tblHeader/>
        </w:trPr>
        <w:tc>
          <w:tcPr>
            <w:tcW w:w="4148" w:type="dxa"/>
          </w:tcPr>
          <w:p w14:paraId="03F2FD2F" w14:textId="77777777" w:rsidR="00077383" w:rsidRPr="00D112C3" w:rsidRDefault="00077383" w:rsidP="00A61EA5">
            <w:pPr>
              <w:spacing w:line="0" w:lineRule="atLeast"/>
              <w:jc w:val="center"/>
              <w:rPr>
                <w:rFonts w:ascii="Times New Roman" w:eastAsia="標楷體" w:hAnsi="Times New Roman"/>
                <w:sz w:val="28"/>
                <w:szCs w:val="28"/>
              </w:rPr>
            </w:pPr>
            <w:r w:rsidRPr="00D112C3">
              <w:rPr>
                <w:rFonts w:ascii="Times New Roman" w:eastAsia="標楷體" w:hAnsi="Times New Roman"/>
                <w:sz w:val="28"/>
                <w:szCs w:val="28"/>
              </w:rPr>
              <w:t>條文</w:t>
            </w:r>
          </w:p>
        </w:tc>
        <w:tc>
          <w:tcPr>
            <w:tcW w:w="4148" w:type="dxa"/>
          </w:tcPr>
          <w:p w14:paraId="1BE7ACB9" w14:textId="77777777" w:rsidR="00077383" w:rsidRPr="00D112C3" w:rsidRDefault="00077383" w:rsidP="00A61EA5">
            <w:pPr>
              <w:spacing w:line="0" w:lineRule="atLeast"/>
              <w:jc w:val="center"/>
              <w:rPr>
                <w:rFonts w:ascii="Times New Roman" w:eastAsia="標楷體" w:hAnsi="Times New Roman"/>
                <w:sz w:val="28"/>
                <w:szCs w:val="28"/>
              </w:rPr>
            </w:pPr>
            <w:r w:rsidRPr="00D112C3">
              <w:rPr>
                <w:rFonts w:ascii="Times New Roman" w:eastAsia="標楷體" w:hAnsi="Times New Roman"/>
                <w:sz w:val="28"/>
                <w:szCs w:val="28"/>
              </w:rPr>
              <w:t>說明</w:t>
            </w:r>
          </w:p>
        </w:tc>
      </w:tr>
      <w:tr w:rsidR="00CE5214" w:rsidRPr="00D112C3" w14:paraId="0443A717" w14:textId="77777777" w:rsidTr="00116BAC">
        <w:tc>
          <w:tcPr>
            <w:tcW w:w="4148" w:type="dxa"/>
          </w:tcPr>
          <w:p w14:paraId="7198EC57" w14:textId="77777777" w:rsidR="00CE5214" w:rsidRPr="00D112C3" w:rsidRDefault="00CE5214" w:rsidP="003A2BD9">
            <w:pPr>
              <w:spacing w:line="0" w:lineRule="atLeast"/>
              <w:ind w:left="567" w:hanging="567"/>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第一條</w:t>
            </w:r>
          </w:p>
          <w:p w14:paraId="75624758" w14:textId="4A7D4493" w:rsidR="00CE5214" w:rsidRPr="00D112C3" w:rsidRDefault="00CE5214" w:rsidP="003A2BD9">
            <w:pPr>
              <w:spacing w:line="0" w:lineRule="atLeast"/>
              <w:ind w:firstLine="567"/>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本標準依</w:t>
            </w:r>
            <w:r w:rsidR="002356C7" w:rsidRPr="00D112C3">
              <w:rPr>
                <w:rFonts w:ascii="Times New Roman" w:eastAsia="標楷體" w:hAnsi="Times New Roman" w:cs="Times New Roman" w:hint="eastAsia"/>
                <w:sz w:val="28"/>
                <w:szCs w:val="28"/>
              </w:rPr>
              <w:t>財團法人中華民國證券櫃檯買賣中心</w:t>
            </w:r>
            <w:r w:rsidR="002356C7" w:rsidRPr="00D112C3">
              <w:rPr>
                <w:rFonts w:ascii="Times New Roman" w:eastAsia="標楷體" w:hAnsi="Times New Roman" w:cs="Times New Roman" w:hint="eastAsia"/>
                <w:sz w:val="28"/>
                <w:szCs w:val="28"/>
              </w:rPr>
              <w:t>(</w:t>
            </w:r>
            <w:r w:rsidR="002356C7" w:rsidRPr="00D112C3">
              <w:rPr>
                <w:rFonts w:ascii="Times New Roman" w:eastAsia="標楷體" w:hAnsi="Times New Roman" w:cs="Times New Roman" w:hint="eastAsia"/>
                <w:sz w:val="28"/>
                <w:szCs w:val="28"/>
              </w:rPr>
              <w:t>以下簡稱本中心</w:t>
            </w:r>
            <w:r w:rsidR="002356C7" w:rsidRPr="00D112C3">
              <w:rPr>
                <w:rFonts w:ascii="Times New Roman" w:eastAsia="標楷體" w:hAnsi="Times New Roman" w:cs="Times New Roman" w:hint="eastAsia"/>
                <w:sz w:val="28"/>
                <w:szCs w:val="28"/>
              </w:rPr>
              <w:t>)</w:t>
            </w:r>
            <w:r w:rsidRPr="00D112C3">
              <w:rPr>
                <w:rFonts w:ascii="Times New Roman" w:eastAsia="標楷體" w:hAnsi="Times New Roman" w:cs="Times New Roman" w:hint="eastAsia"/>
                <w:sz w:val="28"/>
                <w:szCs w:val="28"/>
              </w:rPr>
              <w:t>股票造市者及</w:t>
            </w:r>
            <w:r w:rsidR="004E1193" w:rsidRPr="00D112C3">
              <w:rPr>
                <w:rFonts w:ascii="Times New Roman" w:eastAsia="標楷體" w:hAnsi="Times New Roman" w:cs="Times New Roman" w:hint="eastAsia"/>
                <w:sz w:val="28"/>
                <w:szCs w:val="28"/>
              </w:rPr>
              <w:t>交易獎勵參與者</w:t>
            </w:r>
            <w:r w:rsidRPr="00D112C3">
              <w:rPr>
                <w:rFonts w:ascii="Times New Roman" w:eastAsia="標楷體" w:hAnsi="Times New Roman" w:cs="Times New Roman" w:hint="eastAsia"/>
                <w:sz w:val="28"/>
                <w:szCs w:val="28"/>
              </w:rPr>
              <w:t>作業辦法（以下簡稱本辦法）第六條規定訂定之。</w:t>
            </w:r>
          </w:p>
        </w:tc>
        <w:tc>
          <w:tcPr>
            <w:tcW w:w="4148" w:type="dxa"/>
          </w:tcPr>
          <w:p w14:paraId="5657E045" w14:textId="3F471A18" w:rsidR="00CE5214" w:rsidRPr="00D112C3" w:rsidRDefault="002356C7" w:rsidP="003A2BD9">
            <w:pPr>
              <w:spacing w:line="0" w:lineRule="atLeast"/>
              <w:jc w:val="both"/>
              <w:rPr>
                <w:rFonts w:ascii="Times New Roman" w:eastAsia="標楷體" w:hAnsi="Times New Roman"/>
                <w:sz w:val="28"/>
                <w:szCs w:val="28"/>
              </w:rPr>
            </w:pPr>
            <w:r w:rsidRPr="00D112C3">
              <w:rPr>
                <w:rFonts w:ascii="Times New Roman" w:eastAsia="標楷體" w:hAnsi="Times New Roman" w:hint="eastAsia"/>
                <w:sz w:val="28"/>
                <w:szCs w:val="28"/>
              </w:rPr>
              <w:t>明定</w:t>
            </w:r>
            <w:r w:rsidR="00CE5214" w:rsidRPr="00D112C3">
              <w:rPr>
                <w:rFonts w:ascii="Times New Roman" w:eastAsia="標楷體" w:hAnsi="Times New Roman" w:hint="eastAsia"/>
                <w:sz w:val="28"/>
                <w:szCs w:val="28"/>
              </w:rPr>
              <w:t>本標準之訂定依據。</w:t>
            </w:r>
          </w:p>
        </w:tc>
      </w:tr>
      <w:tr w:rsidR="00CE5214" w:rsidRPr="00D112C3" w14:paraId="11D3B65E" w14:textId="77777777" w:rsidTr="00116BAC">
        <w:tc>
          <w:tcPr>
            <w:tcW w:w="4148" w:type="dxa"/>
          </w:tcPr>
          <w:p w14:paraId="32C35E7B" w14:textId="77777777" w:rsidR="00CE5214" w:rsidRPr="00D112C3" w:rsidRDefault="00CE5214" w:rsidP="003A2BD9">
            <w:pPr>
              <w:spacing w:line="0" w:lineRule="atLeast"/>
              <w:ind w:left="567" w:hanging="567"/>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第二條</w:t>
            </w:r>
          </w:p>
          <w:p w14:paraId="50C88114" w14:textId="76FABB6B" w:rsidR="00CE5214" w:rsidRPr="00D112C3" w:rsidRDefault="00922C50" w:rsidP="003A2BD9">
            <w:pPr>
              <w:spacing w:line="0" w:lineRule="atLeast"/>
              <w:ind w:firstLine="567"/>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股票造市者當月個別選定上櫃股票買賣報價符合本辦法第四條規定者，本中心依下列標準折讓該上櫃股票當月業務服務費（證券商帳號為五五五五五五</w:t>
            </w:r>
            <w:r w:rsidRPr="00D112C3">
              <w:rPr>
                <w:rFonts w:ascii="Times New Roman" w:eastAsia="標楷體" w:hAnsi="Times New Roman" w:cs="Times New Roman" w:hint="eastAsia"/>
                <w:sz w:val="28"/>
                <w:szCs w:val="28"/>
              </w:rPr>
              <w:t>-</w:t>
            </w:r>
            <w:r w:rsidRPr="00D112C3">
              <w:rPr>
                <w:rFonts w:ascii="Times New Roman" w:eastAsia="標楷體" w:hAnsi="Times New Roman" w:cs="Times New Roman" w:hint="eastAsia"/>
                <w:sz w:val="28"/>
                <w:szCs w:val="28"/>
              </w:rPr>
              <w:t>五）：</w:t>
            </w:r>
          </w:p>
          <w:tbl>
            <w:tblPr>
              <w:tblStyle w:val="a3"/>
              <w:tblW w:w="0" w:type="auto"/>
              <w:tblInd w:w="482" w:type="dxa"/>
              <w:tblLook w:val="04A0" w:firstRow="1" w:lastRow="0" w:firstColumn="1" w:lastColumn="0" w:noHBand="0" w:noVBand="1"/>
            </w:tblPr>
            <w:tblGrid>
              <w:gridCol w:w="1720"/>
              <w:gridCol w:w="1720"/>
            </w:tblGrid>
            <w:tr w:rsidR="00CE5214" w:rsidRPr="00D112C3" w14:paraId="4043874D" w14:textId="77777777" w:rsidTr="002F0DE4">
              <w:trPr>
                <w:trHeight w:val="878"/>
              </w:trPr>
              <w:tc>
                <w:tcPr>
                  <w:tcW w:w="1720" w:type="dxa"/>
                </w:tcPr>
                <w:p w14:paraId="370CC923" w14:textId="77777777" w:rsidR="00CE5214" w:rsidRPr="00D112C3" w:rsidRDefault="00CE5214" w:rsidP="003A2BD9">
                  <w:pPr>
                    <w:spacing w:line="0" w:lineRule="atLeast"/>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月成交量比重</w:t>
                  </w:r>
                </w:p>
              </w:tc>
              <w:tc>
                <w:tcPr>
                  <w:tcW w:w="1720" w:type="dxa"/>
                </w:tcPr>
                <w:p w14:paraId="008D1AA3" w14:textId="77777777" w:rsidR="00CE5214" w:rsidRPr="00D112C3" w:rsidRDefault="00CE5214" w:rsidP="003A2BD9">
                  <w:pPr>
                    <w:spacing w:line="0" w:lineRule="atLeast"/>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當月業務服務費折讓比率</w:t>
                  </w:r>
                </w:p>
              </w:tc>
            </w:tr>
            <w:tr w:rsidR="00CE5214" w:rsidRPr="00D112C3" w14:paraId="22648E9A" w14:textId="77777777" w:rsidTr="002F0DE4">
              <w:tc>
                <w:tcPr>
                  <w:tcW w:w="1720" w:type="dxa"/>
                </w:tcPr>
                <w:p w14:paraId="79AA75A1" w14:textId="77777777" w:rsidR="00CE5214" w:rsidRPr="00D112C3" w:rsidRDefault="00CE5214" w:rsidP="003A2BD9">
                  <w:pPr>
                    <w:spacing w:line="0" w:lineRule="atLeast"/>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未滿</w:t>
                  </w:r>
                  <w:r w:rsidRPr="00D112C3">
                    <w:rPr>
                      <w:rFonts w:ascii="Times New Roman" w:eastAsia="標楷體" w:hAnsi="Times New Roman" w:cs="Times New Roman" w:hint="eastAsia"/>
                      <w:sz w:val="28"/>
                      <w:szCs w:val="28"/>
                    </w:rPr>
                    <w:t>10%</w:t>
                  </w:r>
                </w:p>
              </w:tc>
              <w:tc>
                <w:tcPr>
                  <w:tcW w:w="1720" w:type="dxa"/>
                </w:tcPr>
                <w:p w14:paraId="1B6F92EF" w14:textId="77777777" w:rsidR="00CE5214" w:rsidRPr="00D112C3" w:rsidRDefault="00CE5214" w:rsidP="003A2BD9">
                  <w:pPr>
                    <w:spacing w:line="0" w:lineRule="atLeast"/>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25%</w:t>
                  </w:r>
                </w:p>
              </w:tc>
            </w:tr>
            <w:tr w:rsidR="00CE5214" w:rsidRPr="00D112C3" w14:paraId="03F86BEB" w14:textId="77777777" w:rsidTr="002F0DE4">
              <w:trPr>
                <w:trHeight w:val="1567"/>
              </w:trPr>
              <w:tc>
                <w:tcPr>
                  <w:tcW w:w="1720" w:type="dxa"/>
                </w:tcPr>
                <w:p w14:paraId="06BF7122" w14:textId="77777777" w:rsidR="00CE5214" w:rsidRPr="00D112C3" w:rsidRDefault="00CE5214" w:rsidP="003A2BD9">
                  <w:pPr>
                    <w:spacing w:line="0" w:lineRule="atLeast"/>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10%</w:t>
                  </w:r>
                  <w:r w:rsidRPr="00D112C3">
                    <w:rPr>
                      <w:rFonts w:ascii="Times New Roman" w:eastAsia="標楷體" w:hAnsi="Times New Roman" w:cs="Times New Roman" w:hint="eastAsia"/>
                      <w:sz w:val="28"/>
                      <w:szCs w:val="28"/>
                    </w:rPr>
                    <w:t>以上</w:t>
                  </w:r>
                </w:p>
              </w:tc>
              <w:tc>
                <w:tcPr>
                  <w:tcW w:w="1720" w:type="dxa"/>
                </w:tcPr>
                <w:p w14:paraId="7963C7E4" w14:textId="1D50B370" w:rsidR="00CE5214" w:rsidRPr="00D112C3" w:rsidRDefault="00CE5214" w:rsidP="003A2BD9">
                  <w:pPr>
                    <w:spacing w:line="0" w:lineRule="atLeast"/>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15%+</w:t>
                  </w:r>
                  <w:r w:rsidRPr="00D112C3">
                    <w:rPr>
                      <w:rFonts w:ascii="Times New Roman" w:eastAsia="標楷體" w:hAnsi="Times New Roman" w:cs="Times New Roman" w:hint="eastAsia"/>
                      <w:sz w:val="28"/>
                      <w:szCs w:val="28"/>
                    </w:rPr>
                    <w:t>月成交量比重</w:t>
                  </w:r>
                  <w:r w:rsidRPr="00D112C3">
                    <w:rPr>
                      <w:rFonts w:ascii="Times New Roman" w:eastAsia="標楷體" w:hAnsi="Times New Roman" w:cs="Times New Roman"/>
                      <w:sz w:val="28"/>
                      <w:szCs w:val="28"/>
                    </w:rPr>
                    <w:br/>
                  </w:r>
                  <w:r w:rsidRPr="00D112C3">
                    <w:rPr>
                      <w:rFonts w:ascii="Times New Roman" w:eastAsia="標楷體" w:hAnsi="Times New Roman" w:cs="Times New Roman" w:hint="eastAsia"/>
                      <w:sz w:val="28"/>
                      <w:szCs w:val="28"/>
                    </w:rPr>
                    <w:t>（</w:t>
                  </w:r>
                  <w:r w:rsidR="0076796E" w:rsidRPr="00D112C3">
                    <w:rPr>
                      <w:rFonts w:ascii="Times New Roman" w:eastAsia="標楷體" w:hAnsi="Times New Roman" w:cs="Times New Roman" w:hint="eastAsia"/>
                      <w:sz w:val="28"/>
                      <w:szCs w:val="28"/>
                    </w:rPr>
                    <w:t>總</w:t>
                  </w:r>
                  <w:r w:rsidRPr="00D112C3">
                    <w:rPr>
                      <w:rFonts w:ascii="Times New Roman" w:eastAsia="標楷體" w:hAnsi="Times New Roman" w:cs="Times New Roman" w:hint="eastAsia"/>
                      <w:sz w:val="28"/>
                      <w:szCs w:val="28"/>
                    </w:rPr>
                    <w:t>折減上限為</w:t>
                  </w:r>
                  <w:r w:rsidRPr="00D112C3">
                    <w:rPr>
                      <w:rFonts w:ascii="Times New Roman" w:eastAsia="標楷體" w:hAnsi="Times New Roman" w:cs="Times New Roman" w:hint="eastAsia"/>
                      <w:sz w:val="28"/>
                      <w:szCs w:val="28"/>
                    </w:rPr>
                    <w:t>60%</w:t>
                  </w:r>
                  <w:r w:rsidRPr="00D112C3">
                    <w:rPr>
                      <w:rFonts w:ascii="Times New Roman" w:eastAsia="標楷體" w:hAnsi="Times New Roman" w:cs="Times New Roman" w:hint="eastAsia"/>
                      <w:sz w:val="28"/>
                      <w:szCs w:val="28"/>
                    </w:rPr>
                    <w:t>）</w:t>
                  </w:r>
                </w:p>
              </w:tc>
            </w:tr>
            <w:tr w:rsidR="00CE5214" w:rsidRPr="00D112C3" w14:paraId="73E349EA" w14:textId="77777777" w:rsidTr="002F0DE4">
              <w:tc>
                <w:tcPr>
                  <w:tcW w:w="3440" w:type="dxa"/>
                  <w:gridSpan w:val="2"/>
                </w:tcPr>
                <w:p w14:paraId="6C50D409" w14:textId="77777777" w:rsidR="00CE5214" w:rsidRPr="00D112C3" w:rsidRDefault="00CE5214" w:rsidP="003A2BD9">
                  <w:pPr>
                    <w:spacing w:line="0" w:lineRule="atLeast"/>
                    <w:jc w:val="both"/>
                    <w:rPr>
                      <w:rFonts w:ascii="Times New Roman" w:eastAsia="標楷體" w:hAnsi="Times New Roman" w:cs="Times New Roman"/>
                      <w:sz w:val="28"/>
                      <w:szCs w:val="28"/>
                    </w:rPr>
                  </w:pPr>
                  <w:proofErr w:type="gramStart"/>
                  <w:r w:rsidRPr="00D112C3">
                    <w:rPr>
                      <w:rFonts w:ascii="Times New Roman" w:eastAsia="標楷體" w:hAnsi="Times New Roman" w:cs="Times New Roman" w:hint="eastAsia"/>
                      <w:sz w:val="28"/>
                      <w:szCs w:val="28"/>
                    </w:rPr>
                    <w:t>註</w:t>
                  </w:r>
                  <w:proofErr w:type="gramEnd"/>
                  <w:r w:rsidRPr="00D112C3">
                    <w:rPr>
                      <w:rFonts w:ascii="Times New Roman" w:eastAsia="標楷體" w:hAnsi="Times New Roman" w:cs="Times New Roman" w:hint="eastAsia"/>
                      <w:sz w:val="28"/>
                      <w:szCs w:val="28"/>
                    </w:rPr>
                    <w:t>：（月成交量比重）＝（股票造市者當月普通交易買賣該選定</w:t>
                  </w:r>
                  <w:r w:rsidRPr="00D112C3">
                    <w:rPr>
                      <w:rFonts w:ascii="Times New Roman" w:eastAsia="標楷體" w:hAnsi="Times New Roman" w:hint="eastAsia"/>
                      <w:sz w:val="28"/>
                      <w:szCs w:val="28"/>
                    </w:rPr>
                    <w:t>上櫃</w:t>
                  </w:r>
                  <w:r w:rsidRPr="00D112C3">
                    <w:rPr>
                      <w:rFonts w:ascii="Times New Roman" w:eastAsia="標楷體" w:hAnsi="Times New Roman" w:cs="Times New Roman" w:hint="eastAsia"/>
                      <w:sz w:val="28"/>
                      <w:szCs w:val="28"/>
                    </w:rPr>
                    <w:t>股票成交量）÷（當月該選定</w:t>
                  </w:r>
                  <w:r w:rsidRPr="00D112C3">
                    <w:rPr>
                      <w:rFonts w:ascii="Times New Roman" w:eastAsia="標楷體" w:hAnsi="Times New Roman" w:hint="eastAsia"/>
                      <w:sz w:val="28"/>
                      <w:szCs w:val="28"/>
                    </w:rPr>
                    <w:t>上櫃</w:t>
                  </w:r>
                  <w:r w:rsidRPr="00D112C3">
                    <w:rPr>
                      <w:rFonts w:ascii="Times New Roman" w:eastAsia="標楷體" w:hAnsi="Times New Roman" w:cs="Times New Roman" w:hint="eastAsia"/>
                      <w:sz w:val="28"/>
                      <w:szCs w:val="28"/>
                    </w:rPr>
                    <w:t>股票普通交易總成交量）。總成交量＝（買進成交量＋賣出成交量）</w:t>
                  </w:r>
                </w:p>
              </w:tc>
            </w:tr>
          </w:tbl>
          <w:p w14:paraId="5BDE103B" w14:textId="77777777" w:rsidR="00CE5214" w:rsidRPr="00D112C3" w:rsidRDefault="00CE5214" w:rsidP="003A2BD9">
            <w:pPr>
              <w:spacing w:line="0" w:lineRule="atLeast"/>
              <w:ind w:firstLine="567"/>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前項月成交量，不含該專戶自行或與其他自有名義開立之帳戶相互買賣成交之數量。</w:t>
            </w:r>
          </w:p>
          <w:p w14:paraId="74BC11EA" w14:textId="306108AA" w:rsidR="00CE5214" w:rsidRPr="00D112C3" w:rsidRDefault="00CE5214" w:rsidP="003A2BD9">
            <w:pPr>
              <w:spacing w:line="0" w:lineRule="atLeast"/>
              <w:ind w:firstLine="567"/>
              <w:jc w:val="both"/>
              <w:rPr>
                <w:rFonts w:ascii="Times New Roman" w:eastAsia="標楷體" w:hAnsi="Times New Roman" w:cs="Times New Roman"/>
                <w:sz w:val="28"/>
                <w:szCs w:val="28"/>
              </w:rPr>
            </w:pPr>
          </w:p>
          <w:p w14:paraId="4D642E12" w14:textId="1A905B8D" w:rsidR="00FC33B1" w:rsidRDefault="00FC33B1" w:rsidP="003A2BD9">
            <w:pPr>
              <w:spacing w:line="0" w:lineRule="atLeast"/>
              <w:ind w:firstLine="567"/>
              <w:jc w:val="both"/>
              <w:rPr>
                <w:rFonts w:ascii="Times New Roman" w:eastAsia="標楷體" w:hAnsi="Times New Roman" w:cs="Times New Roman"/>
                <w:sz w:val="28"/>
                <w:szCs w:val="28"/>
              </w:rPr>
            </w:pPr>
          </w:p>
          <w:p w14:paraId="2F14E26D" w14:textId="77777777" w:rsidR="006C61FB" w:rsidRPr="006C61FB" w:rsidRDefault="006C61FB" w:rsidP="003A2BD9">
            <w:pPr>
              <w:spacing w:line="0" w:lineRule="atLeast"/>
              <w:ind w:firstLine="567"/>
              <w:jc w:val="both"/>
              <w:rPr>
                <w:rFonts w:ascii="Times New Roman" w:eastAsia="標楷體" w:hAnsi="Times New Roman" w:cs="Times New Roman"/>
                <w:sz w:val="28"/>
                <w:szCs w:val="28"/>
              </w:rPr>
            </w:pPr>
          </w:p>
          <w:p w14:paraId="62B7FAB6" w14:textId="6E083EF5" w:rsidR="00FC33B1" w:rsidRPr="00D112C3" w:rsidRDefault="00FC33B1" w:rsidP="003A2BD9">
            <w:pPr>
              <w:spacing w:line="0" w:lineRule="atLeast"/>
              <w:ind w:firstLine="567"/>
              <w:jc w:val="both"/>
              <w:rPr>
                <w:rFonts w:ascii="Times New Roman" w:eastAsia="標楷體" w:hAnsi="Times New Roman" w:cs="Times New Roman"/>
                <w:sz w:val="28"/>
                <w:szCs w:val="28"/>
              </w:rPr>
            </w:pPr>
          </w:p>
        </w:tc>
        <w:tc>
          <w:tcPr>
            <w:tcW w:w="4148" w:type="dxa"/>
          </w:tcPr>
          <w:p w14:paraId="4719F28E" w14:textId="271044D2" w:rsidR="00CE5214" w:rsidRPr="00D112C3" w:rsidRDefault="00CE5214" w:rsidP="003A2BD9">
            <w:pPr>
              <w:spacing w:line="0" w:lineRule="atLeast"/>
              <w:jc w:val="both"/>
              <w:rPr>
                <w:rFonts w:ascii="Times New Roman" w:eastAsia="標楷體" w:hAnsi="Times New Roman"/>
                <w:sz w:val="28"/>
                <w:szCs w:val="28"/>
              </w:rPr>
            </w:pPr>
            <w:r w:rsidRPr="00D112C3">
              <w:rPr>
                <w:rFonts w:ascii="Times New Roman" w:eastAsia="標楷體" w:hAnsi="Times New Roman" w:hint="eastAsia"/>
                <w:sz w:val="28"/>
                <w:szCs w:val="28"/>
              </w:rPr>
              <w:t>股票造市者成交獎勵業務服務費折讓比率，係視股票造市者對選定</w:t>
            </w:r>
            <w:r w:rsidR="00B50639" w:rsidRPr="00D112C3">
              <w:rPr>
                <w:rFonts w:ascii="Times New Roman" w:eastAsia="標楷體" w:hAnsi="Times New Roman" w:hint="eastAsia"/>
                <w:sz w:val="28"/>
                <w:szCs w:val="28"/>
              </w:rPr>
              <w:t>上櫃</w:t>
            </w:r>
            <w:r w:rsidRPr="00D112C3">
              <w:rPr>
                <w:rFonts w:ascii="Times New Roman" w:eastAsia="標楷體" w:hAnsi="Times New Roman" w:hint="eastAsia"/>
                <w:sz w:val="28"/>
                <w:szCs w:val="28"/>
              </w:rPr>
              <w:t>股票當月普通交易成交量貢獻程度而定，選定</w:t>
            </w:r>
            <w:r w:rsidR="00B50639" w:rsidRPr="00D112C3">
              <w:rPr>
                <w:rFonts w:ascii="Times New Roman" w:eastAsia="標楷體" w:hAnsi="Times New Roman" w:hint="eastAsia"/>
                <w:sz w:val="28"/>
                <w:szCs w:val="28"/>
              </w:rPr>
              <w:t>上櫃</w:t>
            </w:r>
            <w:r w:rsidRPr="00D112C3">
              <w:rPr>
                <w:rFonts w:ascii="Times New Roman" w:eastAsia="標楷體" w:hAnsi="Times New Roman" w:hint="eastAsia"/>
                <w:sz w:val="28"/>
                <w:szCs w:val="28"/>
              </w:rPr>
              <w:t>股票業務服務費折讓範圍包含普通交易及盤後定價買賣金額。</w:t>
            </w:r>
          </w:p>
          <w:p w14:paraId="497B14A4" w14:textId="301687C0" w:rsidR="00CE5214" w:rsidRPr="00D112C3" w:rsidRDefault="00CE5214" w:rsidP="003A2BD9">
            <w:pPr>
              <w:spacing w:line="0" w:lineRule="atLeast"/>
              <w:ind w:left="567" w:hanging="567"/>
              <w:jc w:val="both"/>
              <w:rPr>
                <w:rFonts w:ascii="Times New Roman" w:eastAsia="標楷體" w:hAnsi="Times New Roman"/>
                <w:sz w:val="28"/>
                <w:szCs w:val="28"/>
              </w:rPr>
            </w:pPr>
          </w:p>
        </w:tc>
      </w:tr>
      <w:tr w:rsidR="00CE5214" w:rsidRPr="00D112C3" w14:paraId="3E725325" w14:textId="77777777" w:rsidTr="00116BAC">
        <w:tc>
          <w:tcPr>
            <w:tcW w:w="4148" w:type="dxa"/>
          </w:tcPr>
          <w:p w14:paraId="2E15A458" w14:textId="77777777" w:rsidR="00CE5214" w:rsidRPr="00D112C3" w:rsidRDefault="00CE5214" w:rsidP="003A2BD9">
            <w:pPr>
              <w:spacing w:line="0" w:lineRule="atLeast"/>
              <w:ind w:left="567" w:hanging="567"/>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lastRenderedPageBreak/>
              <w:t>第三條</w:t>
            </w:r>
          </w:p>
          <w:p w14:paraId="0F4E8C6D" w14:textId="5B95A167" w:rsidR="00CE5214" w:rsidRPr="00D112C3" w:rsidRDefault="00CE5214" w:rsidP="003A2BD9">
            <w:pPr>
              <w:spacing w:line="0" w:lineRule="atLeast"/>
              <w:ind w:firstLine="567"/>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股票造市者就</w:t>
            </w:r>
            <w:r w:rsidR="00C91A54" w:rsidRPr="00D112C3">
              <w:rPr>
                <w:rFonts w:ascii="Times New Roman" w:eastAsia="標楷體" w:hAnsi="Times New Roman" w:cs="Times New Roman" w:hint="eastAsia"/>
                <w:sz w:val="28"/>
                <w:szCs w:val="28"/>
              </w:rPr>
              <w:t>其</w:t>
            </w:r>
            <w:r w:rsidRPr="00D112C3">
              <w:rPr>
                <w:rFonts w:ascii="Times New Roman" w:eastAsia="標楷體" w:hAnsi="Times New Roman" w:cs="Times New Roman" w:hint="eastAsia"/>
                <w:sz w:val="28"/>
                <w:szCs w:val="28"/>
              </w:rPr>
              <w:t>選定</w:t>
            </w:r>
            <w:r w:rsidRPr="00D112C3">
              <w:rPr>
                <w:rFonts w:ascii="Times New Roman" w:eastAsia="標楷體" w:hAnsi="Times New Roman" w:hint="eastAsia"/>
                <w:sz w:val="28"/>
                <w:szCs w:val="28"/>
              </w:rPr>
              <w:t>之特定上櫃股票買賣報價均</w:t>
            </w:r>
            <w:r w:rsidRPr="00D112C3">
              <w:rPr>
                <w:rFonts w:ascii="Times New Roman" w:eastAsia="標楷體" w:hAnsi="Times New Roman" w:cs="Times New Roman" w:hint="eastAsia"/>
                <w:sz w:val="28"/>
                <w:szCs w:val="28"/>
              </w:rPr>
              <w:t>符合本辦法第四條規定者，本中心依下列標準折讓其自行買賣專戶（</w:t>
            </w:r>
            <w:r w:rsidRPr="00D112C3">
              <w:rPr>
                <w:rFonts w:ascii="Times New Roman" w:eastAsia="標楷體" w:hAnsi="Times New Roman" w:hint="eastAsia"/>
                <w:sz w:val="28"/>
                <w:szCs w:val="28"/>
              </w:rPr>
              <w:t>證券商</w:t>
            </w:r>
            <w:r w:rsidRPr="00D112C3">
              <w:rPr>
                <w:rFonts w:ascii="Times New Roman" w:eastAsia="標楷體" w:hAnsi="Times New Roman"/>
                <w:sz w:val="28"/>
                <w:szCs w:val="28"/>
              </w:rPr>
              <w:t>帳號為</w:t>
            </w:r>
            <w:r w:rsidRPr="00D112C3">
              <w:rPr>
                <w:rFonts w:ascii="Times New Roman" w:eastAsia="標楷體" w:hAnsi="Times New Roman" w:hint="eastAsia"/>
                <w:sz w:val="28"/>
                <w:szCs w:val="28"/>
              </w:rPr>
              <w:t>００００００</w:t>
            </w:r>
            <w:r w:rsidRPr="00D112C3">
              <w:rPr>
                <w:rFonts w:ascii="Times New Roman" w:eastAsia="標楷體" w:hAnsi="Times New Roman" w:hint="eastAsia"/>
                <w:sz w:val="28"/>
                <w:szCs w:val="28"/>
              </w:rPr>
              <w:t>-</w:t>
            </w:r>
            <w:r w:rsidRPr="00D112C3">
              <w:rPr>
                <w:rFonts w:ascii="Times New Roman" w:eastAsia="標楷體" w:hAnsi="Times New Roman" w:hint="eastAsia"/>
                <w:sz w:val="28"/>
                <w:szCs w:val="28"/>
              </w:rPr>
              <w:t>０</w:t>
            </w:r>
            <w:r w:rsidRPr="00D112C3">
              <w:rPr>
                <w:rFonts w:ascii="Times New Roman" w:eastAsia="標楷體" w:hAnsi="Times New Roman" w:cs="Times New Roman" w:hint="eastAsia"/>
                <w:sz w:val="28"/>
                <w:szCs w:val="28"/>
              </w:rPr>
              <w:t>）當月業務服務費：</w:t>
            </w:r>
          </w:p>
          <w:tbl>
            <w:tblPr>
              <w:tblStyle w:val="a3"/>
              <w:tblW w:w="0" w:type="auto"/>
              <w:tblInd w:w="482" w:type="dxa"/>
              <w:tblLook w:val="04A0" w:firstRow="1" w:lastRow="0" w:firstColumn="1" w:lastColumn="0" w:noHBand="0" w:noVBand="1"/>
            </w:tblPr>
            <w:tblGrid>
              <w:gridCol w:w="1813"/>
              <w:gridCol w:w="1627"/>
            </w:tblGrid>
            <w:tr w:rsidR="00664074" w:rsidRPr="00D112C3" w14:paraId="4066551A" w14:textId="77777777" w:rsidTr="00181FFF">
              <w:tc>
                <w:tcPr>
                  <w:tcW w:w="1813" w:type="dxa"/>
                </w:tcPr>
                <w:p w14:paraId="2AA7B451" w14:textId="77777777" w:rsidR="00664074" w:rsidRPr="00D112C3" w:rsidRDefault="00664074" w:rsidP="003A2BD9">
                  <w:pPr>
                    <w:spacing w:line="0" w:lineRule="atLeast"/>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股票造市者買賣報價符合規定之選定</w:t>
                  </w:r>
                  <w:r w:rsidRPr="00D112C3">
                    <w:rPr>
                      <w:rFonts w:ascii="Times New Roman" w:eastAsia="標楷體" w:hAnsi="Times New Roman" w:hint="eastAsia"/>
                      <w:sz w:val="28"/>
                      <w:szCs w:val="28"/>
                    </w:rPr>
                    <w:t>上櫃</w:t>
                  </w:r>
                  <w:r w:rsidRPr="00D112C3">
                    <w:rPr>
                      <w:rFonts w:ascii="Times New Roman" w:eastAsia="標楷體" w:hAnsi="Times New Roman" w:cs="Times New Roman" w:hint="eastAsia"/>
                      <w:sz w:val="28"/>
                      <w:szCs w:val="28"/>
                    </w:rPr>
                    <w:t>股票檔數</w:t>
                  </w:r>
                </w:p>
              </w:tc>
              <w:tc>
                <w:tcPr>
                  <w:tcW w:w="1627" w:type="dxa"/>
                </w:tcPr>
                <w:p w14:paraId="7EBD54AC" w14:textId="77777777" w:rsidR="00664074" w:rsidRPr="00D112C3" w:rsidRDefault="00664074" w:rsidP="003A2BD9">
                  <w:pPr>
                    <w:spacing w:line="0" w:lineRule="atLeast"/>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當月業務服務費折讓比率</w:t>
                  </w:r>
                </w:p>
              </w:tc>
            </w:tr>
            <w:tr w:rsidR="00664074" w:rsidRPr="00D112C3" w14:paraId="78929100" w14:textId="77777777" w:rsidTr="00181FFF">
              <w:tc>
                <w:tcPr>
                  <w:tcW w:w="1813" w:type="dxa"/>
                </w:tcPr>
                <w:p w14:paraId="30DBA1C9" w14:textId="77777777" w:rsidR="00664074" w:rsidRPr="00D112C3" w:rsidRDefault="00664074" w:rsidP="003A2BD9">
                  <w:pPr>
                    <w:spacing w:line="0" w:lineRule="atLeast"/>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5-9</w:t>
                  </w:r>
                  <w:r w:rsidRPr="00D112C3">
                    <w:rPr>
                      <w:rFonts w:ascii="Times New Roman" w:eastAsia="標楷體" w:hAnsi="Times New Roman" w:cs="Times New Roman" w:hint="eastAsia"/>
                      <w:sz w:val="28"/>
                      <w:szCs w:val="28"/>
                    </w:rPr>
                    <w:t>檔</w:t>
                  </w:r>
                </w:p>
              </w:tc>
              <w:tc>
                <w:tcPr>
                  <w:tcW w:w="1627" w:type="dxa"/>
                </w:tcPr>
                <w:p w14:paraId="74DA5F9A" w14:textId="77777777" w:rsidR="00664074" w:rsidRPr="00D112C3" w:rsidRDefault="00664074" w:rsidP="003A2BD9">
                  <w:pPr>
                    <w:spacing w:line="0" w:lineRule="atLeast"/>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10%</w:t>
                  </w:r>
                </w:p>
              </w:tc>
            </w:tr>
            <w:tr w:rsidR="00664074" w:rsidRPr="00D112C3" w14:paraId="73497879" w14:textId="77777777" w:rsidTr="00181FFF">
              <w:tc>
                <w:tcPr>
                  <w:tcW w:w="1813" w:type="dxa"/>
                </w:tcPr>
                <w:p w14:paraId="29D1A928" w14:textId="77777777" w:rsidR="00664074" w:rsidRPr="00D112C3" w:rsidRDefault="00664074" w:rsidP="003A2BD9">
                  <w:pPr>
                    <w:spacing w:line="0" w:lineRule="atLeast"/>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10-14</w:t>
                  </w:r>
                  <w:r w:rsidRPr="00D112C3">
                    <w:rPr>
                      <w:rFonts w:ascii="Times New Roman" w:eastAsia="標楷體" w:hAnsi="Times New Roman" w:cs="Times New Roman" w:hint="eastAsia"/>
                      <w:sz w:val="28"/>
                      <w:szCs w:val="28"/>
                    </w:rPr>
                    <w:t>檔</w:t>
                  </w:r>
                </w:p>
              </w:tc>
              <w:tc>
                <w:tcPr>
                  <w:tcW w:w="1627" w:type="dxa"/>
                </w:tcPr>
                <w:p w14:paraId="6B533C9E" w14:textId="77777777" w:rsidR="00664074" w:rsidRPr="00D112C3" w:rsidRDefault="00664074" w:rsidP="003A2BD9">
                  <w:pPr>
                    <w:spacing w:line="0" w:lineRule="atLeast"/>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15%</w:t>
                  </w:r>
                </w:p>
              </w:tc>
            </w:tr>
            <w:tr w:rsidR="00664074" w:rsidRPr="00D112C3" w14:paraId="3E151870" w14:textId="77777777" w:rsidTr="00181FFF">
              <w:tc>
                <w:tcPr>
                  <w:tcW w:w="1813" w:type="dxa"/>
                </w:tcPr>
                <w:p w14:paraId="649FBC8E" w14:textId="77777777" w:rsidR="00664074" w:rsidRPr="00D112C3" w:rsidRDefault="00664074" w:rsidP="003A2BD9">
                  <w:pPr>
                    <w:spacing w:line="0" w:lineRule="atLeast"/>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15-19</w:t>
                  </w:r>
                  <w:r w:rsidRPr="00D112C3">
                    <w:rPr>
                      <w:rFonts w:ascii="Times New Roman" w:eastAsia="標楷體" w:hAnsi="Times New Roman" w:cs="Times New Roman" w:hint="eastAsia"/>
                      <w:sz w:val="28"/>
                      <w:szCs w:val="28"/>
                    </w:rPr>
                    <w:t>檔</w:t>
                  </w:r>
                </w:p>
              </w:tc>
              <w:tc>
                <w:tcPr>
                  <w:tcW w:w="1627" w:type="dxa"/>
                </w:tcPr>
                <w:p w14:paraId="5F118480" w14:textId="77777777" w:rsidR="00664074" w:rsidRPr="00D112C3" w:rsidRDefault="00664074" w:rsidP="003A2BD9">
                  <w:pPr>
                    <w:spacing w:line="0" w:lineRule="atLeast"/>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20%</w:t>
                  </w:r>
                </w:p>
              </w:tc>
            </w:tr>
            <w:tr w:rsidR="00664074" w:rsidRPr="00D112C3" w14:paraId="56389D56" w14:textId="77777777" w:rsidTr="00181FFF">
              <w:tc>
                <w:tcPr>
                  <w:tcW w:w="1813" w:type="dxa"/>
                </w:tcPr>
                <w:p w14:paraId="4A5756C8" w14:textId="77777777" w:rsidR="00664074" w:rsidRPr="00D112C3" w:rsidRDefault="00664074" w:rsidP="003A2BD9">
                  <w:pPr>
                    <w:spacing w:line="0" w:lineRule="atLeast"/>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20</w:t>
                  </w:r>
                  <w:r w:rsidRPr="00D112C3">
                    <w:rPr>
                      <w:rFonts w:ascii="Times New Roman" w:eastAsia="標楷體" w:hAnsi="Times New Roman" w:cs="Times New Roman" w:hint="eastAsia"/>
                      <w:sz w:val="28"/>
                      <w:szCs w:val="28"/>
                    </w:rPr>
                    <w:t>檔以上</w:t>
                  </w:r>
                </w:p>
              </w:tc>
              <w:tc>
                <w:tcPr>
                  <w:tcW w:w="1627" w:type="dxa"/>
                </w:tcPr>
                <w:p w14:paraId="13A9052F" w14:textId="77777777" w:rsidR="00664074" w:rsidRPr="00D112C3" w:rsidRDefault="00664074" w:rsidP="003A2BD9">
                  <w:pPr>
                    <w:spacing w:line="0" w:lineRule="atLeast"/>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25%</w:t>
                  </w:r>
                </w:p>
              </w:tc>
            </w:tr>
          </w:tbl>
          <w:p w14:paraId="6EE68E76" w14:textId="0734AB0A" w:rsidR="00CE5214" w:rsidRPr="00D112C3" w:rsidRDefault="00B3204F" w:rsidP="003A2BD9">
            <w:pPr>
              <w:spacing w:line="0" w:lineRule="atLeast"/>
              <w:ind w:firstLine="567"/>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前項業務服務費之計算，應扣除該專戶自行</w:t>
            </w:r>
            <w:r w:rsidR="00625FE3" w:rsidRPr="00D112C3">
              <w:rPr>
                <w:rFonts w:ascii="Times New Roman" w:eastAsia="標楷體" w:hAnsi="Times New Roman" w:cs="Times New Roman" w:hint="eastAsia"/>
                <w:sz w:val="28"/>
                <w:szCs w:val="28"/>
              </w:rPr>
              <w:t>及</w:t>
            </w:r>
            <w:r w:rsidRPr="00D112C3">
              <w:rPr>
                <w:rFonts w:ascii="Times New Roman" w:eastAsia="標楷體" w:hAnsi="Times New Roman" w:cs="Times New Roman" w:hint="eastAsia"/>
                <w:sz w:val="28"/>
                <w:szCs w:val="28"/>
              </w:rPr>
              <w:t>與其他自有名義開立之帳戶相互買賣成交之成交金額。</w:t>
            </w:r>
          </w:p>
        </w:tc>
        <w:tc>
          <w:tcPr>
            <w:tcW w:w="4148" w:type="dxa"/>
          </w:tcPr>
          <w:p w14:paraId="1DF4411A" w14:textId="1D6AE4B7" w:rsidR="00CE5214" w:rsidRPr="00D112C3" w:rsidRDefault="00CE5214" w:rsidP="003A2BD9">
            <w:pPr>
              <w:spacing w:line="0" w:lineRule="atLeast"/>
              <w:jc w:val="both"/>
              <w:rPr>
                <w:rFonts w:ascii="Times New Roman" w:eastAsia="標楷體" w:hAnsi="Times New Roman"/>
                <w:sz w:val="28"/>
                <w:szCs w:val="28"/>
              </w:rPr>
            </w:pPr>
            <w:r w:rsidRPr="00D112C3">
              <w:rPr>
                <w:rFonts w:ascii="Times New Roman" w:eastAsia="標楷體" w:hAnsi="Times New Roman" w:hint="eastAsia"/>
                <w:sz w:val="28"/>
                <w:szCs w:val="28"/>
              </w:rPr>
              <w:t>考量股票造市者肩負買賣報價義務，須付出相當成本，如選定之特定</w:t>
            </w:r>
            <w:r w:rsidR="00B50639" w:rsidRPr="00D112C3">
              <w:rPr>
                <w:rFonts w:ascii="Times New Roman" w:eastAsia="標楷體" w:hAnsi="Times New Roman" w:hint="eastAsia"/>
                <w:sz w:val="28"/>
                <w:szCs w:val="28"/>
              </w:rPr>
              <w:t>上櫃</w:t>
            </w:r>
            <w:r w:rsidRPr="00D112C3">
              <w:rPr>
                <w:rFonts w:ascii="Times New Roman" w:eastAsia="標楷體" w:hAnsi="Times New Roman" w:hint="eastAsia"/>
                <w:sz w:val="28"/>
                <w:szCs w:val="28"/>
              </w:rPr>
              <w:t>股票當月全數符合買賣報價規定者，將依選定</w:t>
            </w:r>
            <w:r w:rsidR="00B50639" w:rsidRPr="00D112C3">
              <w:rPr>
                <w:rFonts w:ascii="Times New Roman" w:eastAsia="標楷體" w:hAnsi="Times New Roman" w:hint="eastAsia"/>
                <w:sz w:val="28"/>
                <w:szCs w:val="28"/>
              </w:rPr>
              <w:t>上櫃</w:t>
            </w:r>
            <w:r w:rsidRPr="00D112C3">
              <w:rPr>
                <w:rFonts w:ascii="Times New Roman" w:eastAsia="標楷體" w:hAnsi="Times New Roman" w:cs="Times New Roman" w:hint="eastAsia"/>
                <w:sz w:val="28"/>
                <w:szCs w:val="28"/>
              </w:rPr>
              <w:t>股票符合規範</w:t>
            </w:r>
            <w:proofErr w:type="gramStart"/>
            <w:r w:rsidRPr="00D112C3">
              <w:rPr>
                <w:rFonts w:ascii="Times New Roman" w:eastAsia="標楷體" w:hAnsi="Times New Roman" w:cs="Times New Roman" w:hint="eastAsia"/>
                <w:sz w:val="28"/>
                <w:szCs w:val="28"/>
              </w:rPr>
              <w:t>檔數另</w:t>
            </w:r>
            <w:r w:rsidRPr="00D112C3">
              <w:rPr>
                <w:rFonts w:ascii="Times New Roman" w:eastAsia="標楷體" w:hAnsi="Times New Roman" w:hint="eastAsia"/>
                <w:sz w:val="28"/>
                <w:szCs w:val="28"/>
              </w:rPr>
              <w:t>提供</w:t>
            </w:r>
            <w:proofErr w:type="gramEnd"/>
            <w:r w:rsidRPr="00D112C3">
              <w:rPr>
                <w:rFonts w:ascii="Times New Roman" w:eastAsia="標楷體" w:hAnsi="Times New Roman" w:hint="eastAsia"/>
                <w:sz w:val="28"/>
                <w:szCs w:val="28"/>
              </w:rPr>
              <w:t>報價獎勵業務服務費折讓。</w:t>
            </w:r>
          </w:p>
        </w:tc>
      </w:tr>
      <w:tr w:rsidR="00CE5214" w:rsidRPr="00D112C3" w14:paraId="63A47135" w14:textId="77777777" w:rsidTr="00116BAC">
        <w:tc>
          <w:tcPr>
            <w:tcW w:w="4148" w:type="dxa"/>
          </w:tcPr>
          <w:p w14:paraId="0E4016B0" w14:textId="77777777" w:rsidR="00CE5214" w:rsidRPr="00D112C3" w:rsidRDefault="00CE5214" w:rsidP="003A2BD9">
            <w:pPr>
              <w:spacing w:line="0" w:lineRule="atLeast"/>
              <w:ind w:left="567" w:hanging="567"/>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第四條</w:t>
            </w:r>
          </w:p>
          <w:p w14:paraId="2F960258" w14:textId="59DE245D" w:rsidR="00CE5214" w:rsidRPr="00D112C3" w:rsidRDefault="00332898" w:rsidP="003A2BD9">
            <w:pPr>
              <w:spacing w:line="0" w:lineRule="atLeast"/>
              <w:ind w:firstLine="567"/>
              <w:jc w:val="both"/>
              <w:rPr>
                <w:rFonts w:ascii="Times New Roman" w:eastAsia="標楷體" w:hAnsi="Times New Roman"/>
                <w:sz w:val="28"/>
                <w:szCs w:val="28"/>
              </w:rPr>
            </w:pPr>
            <w:r w:rsidRPr="00D112C3">
              <w:rPr>
                <w:rFonts w:ascii="Times New Roman" w:eastAsia="標楷體" w:hAnsi="Times New Roman" w:hint="eastAsia"/>
                <w:sz w:val="28"/>
                <w:szCs w:val="28"/>
              </w:rPr>
              <w:t>本中心每月依下列標準折讓</w:t>
            </w:r>
            <w:r w:rsidR="004E1193" w:rsidRPr="00D112C3">
              <w:rPr>
                <w:rFonts w:ascii="Times New Roman" w:eastAsia="標楷體" w:hAnsi="Times New Roman" w:hint="eastAsia"/>
                <w:sz w:val="28"/>
                <w:szCs w:val="28"/>
              </w:rPr>
              <w:t>交易獎勵參與者</w:t>
            </w:r>
            <w:r w:rsidRPr="00D112C3">
              <w:rPr>
                <w:rFonts w:ascii="Times New Roman" w:eastAsia="標楷體" w:hAnsi="Times New Roman" w:hint="eastAsia"/>
                <w:sz w:val="28"/>
                <w:szCs w:val="28"/>
              </w:rPr>
              <w:t>個別選定上櫃股票當月業務服務費（證券商帳號為五五五五五五</w:t>
            </w:r>
            <w:r w:rsidRPr="00D112C3">
              <w:rPr>
                <w:rFonts w:ascii="Times New Roman" w:eastAsia="標楷體" w:hAnsi="Times New Roman" w:hint="eastAsia"/>
                <w:sz w:val="28"/>
                <w:szCs w:val="28"/>
              </w:rPr>
              <w:t>-</w:t>
            </w:r>
            <w:r w:rsidRPr="00D112C3">
              <w:rPr>
                <w:rFonts w:ascii="Times New Roman" w:eastAsia="標楷體" w:hAnsi="Times New Roman" w:hint="eastAsia"/>
                <w:sz w:val="28"/>
                <w:szCs w:val="28"/>
              </w:rPr>
              <w:t>六）</w:t>
            </w:r>
            <w:r w:rsidR="00922C50" w:rsidRPr="00D112C3">
              <w:rPr>
                <w:rFonts w:ascii="Times New Roman" w:eastAsia="標楷體" w:hAnsi="Times New Roman" w:hint="eastAsia"/>
                <w:sz w:val="28"/>
                <w:szCs w:val="28"/>
              </w:rPr>
              <w:t>：</w:t>
            </w:r>
          </w:p>
          <w:tbl>
            <w:tblPr>
              <w:tblStyle w:val="a3"/>
              <w:tblW w:w="0" w:type="auto"/>
              <w:tblInd w:w="482" w:type="dxa"/>
              <w:tblLook w:val="04A0" w:firstRow="1" w:lastRow="0" w:firstColumn="1" w:lastColumn="0" w:noHBand="0" w:noVBand="1"/>
            </w:tblPr>
            <w:tblGrid>
              <w:gridCol w:w="1720"/>
              <w:gridCol w:w="1720"/>
            </w:tblGrid>
            <w:tr w:rsidR="00CE5214" w:rsidRPr="00D112C3" w14:paraId="101F99EB" w14:textId="77777777" w:rsidTr="002F0DE4">
              <w:tc>
                <w:tcPr>
                  <w:tcW w:w="1720" w:type="dxa"/>
                </w:tcPr>
                <w:p w14:paraId="28E4C216" w14:textId="77777777" w:rsidR="00CE5214" w:rsidRPr="00D112C3" w:rsidRDefault="00CE5214" w:rsidP="003A2BD9">
                  <w:pPr>
                    <w:spacing w:line="0" w:lineRule="atLeast"/>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日平均成交量</w:t>
                  </w:r>
                </w:p>
              </w:tc>
              <w:tc>
                <w:tcPr>
                  <w:tcW w:w="1720" w:type="dxa"/>
                </w:tcPr>
                <w:p w14:paraId="6AF690D8" w14:textId="77777777" w:rsidR="00CE5214" w:rsidRPr="00D112C3" w:rsidRDefault="00CE5214" w:rsidP="003A2BD9">
                  <w:pPr>
                    <w:spacing w:line="0" w:lineRule="atLeast"/>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當月業務服務費折讓比率</w:t>
                  </w:r>
                </w:p>
              </w:tc>
            </w:tr>
            <w:tr w:rsidR="00CE5214" w:rsidRPr="00D112C3" w14:paraId="3A001093" w14:textId="77777777" w:rsidTr="002F0DE4">
              <w:tc>
                <w:tcPr>
                  <w:tcW w:w="1720" w:type="dxa"/>
                </w:tcPr>
                <w:p w14:paraId="27609222" w14:textId="77777777" w:rsidR="00CE5214" w:rsidRPr="00D112C3" w:rsidRDefault="00CE5214" w:rsidP="003A2BD9">
                  <w:pPr>
                    <w:spacing w:line="0" w:lineRule="atLeast"/>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25</w:t>
                  </w:r>
                  <w:r w:rsidRPr="00D112C3">
                    <w:rPr>
                      <w:rFonts w:ascii="Times New Roman" w:eastAsia="標楷體" w:hAnsi="Times New Roman" w:cs="Times New Roman" w:hint="eastAsia"/>
                      <w:sz w:val="28"/>
                      <w:szCs w:val="28"/>
                    </w:rPr>
                    <w:t>交易單位以上未滿</w:t>
                  </w:r>
                  <w:r w:rsidRPr="00D112C3">
                    <w:rPr>
                      <w:rFonts w:ascii="Times New Roman" w:eastAsia="標楷體" w:hAnsi="Times New Roman" w:cs="Times New Roman" w:hint="eastAsia"/>
                      <w:sz w:val="28"/>
                      <w:szCs w:val="28"/>
                    </w:rPr>
                    <w:t>50</w:t>
                  </w:r>
                  <w:r w:rsidRPr="00D112C3">
                    <w:rPr>
                      <w:rFonts w:ascii="Times New Roman" w:eastAsia="標楷體" w:hAnsi="Times New Roman" w:cs="Times New Roman" w:hint="eastAsia"/>
                      <w:sz w:val="28"/>
                      <w:szCs w:val="28"/>
                    </w:rPr>
                    <w:t>交易單位</w:t>
                  </w:r>
                </w:p>
              </w:tc>
              <w:tc>
                <w:tcPr>
                  <w:tcW w:w="1720" w:type="dxa"/>
                </w:tcPr>
                <w:p w14:paraId="3ED2D9F3" w14:textId="77777777" w:rsidR="00CE5214" w:rsidRPr="00D112C3" w:rsidRDefault="00CE5214" w:rsidP="003A2BD9">
                  <w:pPr>
                    <w:spacing w:line="0" w:lineRule="atLeast"/>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15%</w:t>
                  </w:r>
                </w:p>
              </w:tc>
            </w:tr>
            <w:tr w:rsidR="00CE5214" w:rsidRPr="00D112C3" w14:paraId="2F8B7212" w14:textId="77777777" w:rsidTr="002F0DE4">
              <w:tc>
                <w:tcPr>
                  <w:tcW w:w="1720" w:type="dxa"/>
                </w:tcPr>
                <w:p w14:paraId="2F88B451" w14:textId="77777777" w:rsidR="00CE5214" w:rsidRPr="00D112C3" w:rsidRDefault="00CE5214" w:rsidP="003A2BD9">
                  <w:pPr>
                    <w:spacing w:line="0" w:lineRule="atLeast"/>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50</w:t>
                  </w:r>
                  <w:r w:rsidRPr="00D112C3">
                    <w:rPr>
                      <w:rFonts w:ascii="Times New Roman" w:eastAsia="標楷體" w:hAnsi="Times New Roman" w:cs="Times New Roman" w:hint="eastAsia"/>
                      <w:sz w:val="28"/>
                      <w:szCs w:val="28"/>
                    </w:rPr>
                    <w:t>交易單位以上未滿</w:t>
                  </w:r>
                  <w:r w:rsidRPr="00D112C3">
                    <w:rPr>
                      <w:rFonts w:ascii="Times New Roman" w:eastAsia="標楷體" w:hAnsi="Times New Roman" w:cs="Times New Roman" w:hint="eastAsia"/>
                      <w:sz w:val="28"/>
                      <w:szCs w:val="28"/>
                    </w:rPr>
                    <w:t>75</w:t>
                  </w:r>
                  <w:r w:rsidRPr="00D112C3">
                    <w:rPr>
                      <w:rFonts w:ascii="Times New Roman" w:eastAsia="標楷體" w:hAnsi="Times New Roman" w:cs="Times New Roman" w:hint="eastAsia"/>
                      <w:sz w:val="28"/>
                      <w:szCs w:val="28"/>
                    </w:rPr>
                    <w:t>交易單位</w:t>
                  </w:r>
                </w:p>
              </w:tc>
              <w:tc>
                <w:tcPr>
                  <w:tcW w:w="1720" w:type="dxa"/>
                </w:tcPr>
                <w:p w14:paraId="2A7A43E5" w14:textId="77777777" w:rsidR="00CE5214" w:rsidRPr="00D112C3" w:rsidRDefault="00CE5214" w:rsidP="003A2BD9">
                  <w:pPr>
                    <w:spacing w:line="0" w:lineRule="atLeast"/>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20%</w:t>
                  </w:r>
                </w:p>
              </w:tc>
            </w:tr>
            <w:tr w:rsidR="00CE5214" w:rsidRPr="00D112C3" w14:paraId="13B77DA3" w14:textId="77777777" w:rsidTr="002F0DE4">
              <w:tc>
                <w:tcPr>
                  <w:tcW w:w="1720" w:type="dxa"/>
                </w:tcPr>
                <w:p w14:paraId="14BF7272" w14:textId="4478DEB7" w:rsidR="00CE5214" w:rsidRPr="00D112C3" w:rsidRDefault="00CE5214" w:rsidP="003A2BD9">
                  <w:pPr>
                    <w:spacing w:line="0" w:lineRule="atLeast"/>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75</w:t>
                  </w:r>
                  <w:r w:rsidRPr="00D112C3">
                    <w:rPr>
                      <w:rFonts w:ascii="Times New Roman" w:eastAsia="標楷體" w:hAnsi="Times New Roman" w:cs="Times New Roman" w:hint="eastAsia"/>
                      <w:sz w:val="28"/>
                      <w:szCs w:val="28"/>
                    </w:rPr>
                    <w:t>交易單位以上未滿</w:t>
                  </w:r>
                  <w:r w:rsidRPr="00D112C3">
                    <w:rPr>
                      <w:rFonts w:ascii="Times New Roman" w:eastAsia="標楷體" w:hAnsi="Times New Roman" w:cs="Times New Roman" w:hint="eastAsia"/>
                      <w:sz w:val="28"/>
                      <w:szCs w:val="28"/>
                    </w:rPr>
                    <w:lastRenderedPageBreak/>
                    <w:t>150</w:t>
                  </w:r>
                  <w:r w:rsidRPr="00D112C3">
                    <w:rPr>
                      <w:rFonts w:ascii="Times New Roman" w:eastAsia="標楷體" w:hAnsi="Times New Roman" w:cs="Times New Roman" w:hint="eastAsia"/>
                      <w:sz w:val="28"/>
                      <w:szCs w:val="28"/>
                    </w:rPr>
                    <w:t>交易單位</w:t>
                  </w:r>
                </w:p>
              </w:tc>
              <w:tc>
                <w:tcPr>
                  <w:tcW w:w="1720" w:type="dxa"/>
                </w:tcPr>
                <w:p w14:paraId="0F964A92" w14:textId="77777777" w:rsidR="00CE5214" w:rsidRPr="00D112C3" w:rsidRDefault="00CE5214" w:rsidP="003A2BD9">
                  <w:pPr>
                    <w:spacing w:line="0" w:lineRule="atLeast"/>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lastRenderedPageBreak/>
                    <w:t>25%</w:t>
                  </w:r>
                </w:p>
              </w:tc>
            </w:tr>
            <w:tr w:rsidR="00CE5214" w:rsidRPr="00D112C3" w14:paraId="25776F72" w14:textId="77777777" w:rsidTr="002F0DE4">
              <w:tc>
                <w:tcPr>
                  <w:tcW w:w="1720" w:type="dxa"/>
                </w:tcPr>
                <w:p w14:paraId="015B8B58" w14:textId="77777777" w:rsidR="00CE5214" w:rsidRPr="00D112C3" w:rsidRDefault="00CE5214" w:rsidP="003A2BD9">
                  <w:pPr>
                    <w:spacing w:line="0" w:lineRule="atLeast"/>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150</w:t>
                  </w:r>
                  <w:r w:rsidRPr="00D112C3">
                    <w:rPr>
                      <w:rFonts w:ascii="Times New Roman" w:eastAsia="標楷體" w:hAnsi="Times New Roman" w:cs="Times New Roman" w:hint="eastAsia"/>
                      <w:sz w:val="28"/>
                      <w:szCs w:val="28"/>
                    </w:rPr>
                    <w:t>交易單位以上</w:t>
                  </w:r>
                </w:p>
              </w:tc>
              <w:tc>
                <w:tcPr>
                  <w:tcW w:w="1720" w:type="dxa"/>
                </w:tcPr>
                <w:p w14:paraId="2FFD5A21" w14:textId="77777777" w:rsidR="00CE5214" w:rsidRPr="00D112C3" w:rsidRDefault="00CE5214" w:rsidP="003A2BD9">
                  <w:pPr>
                    <w:spacing w:line="0" w:lineRule="atLeast"/>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30%</w:t>
                  </w:r>
                </w:p>
              </w:tc>
            </w:tr>
          </w:tbl>
          <w:p w14:paraId="702891C1" w14:textId="79FE07B4" w:rsidR="00CE5214" w:rsidRPr="00D112C3" w:rsidRDefault="00CE5214" w:rsidP="003A2BD9">
            <w:pPr>
              <w:spacing w:line="0" w:lineRule="atLeast"/>
              <w:ind w:firstLine="567"/>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前項日平均成交量，不含該專戶自行或與其他自有名義開立之帳戶相互買賣成交之數量。</w:t>
            </w:r>
          </w:p>
        </w:tc>
        <w:tc>
          <w:tcPr>
            <w:tcW w:w="4148" w:type="dxa"/>
          </w:tcPr>
          <w:p w14:paraId="5F6C9531" w14:textId="5BCABCBE" w:rsidR="00CE5214" w:rsidRPr="00D112C3" w:rsidRDefault="004E1193" w:rsidP="003A2BD9">
            <w:pPr>
              <w:spacing w:line="0" w:lineRule="atLeast"/>
              <w:jc w:val="both"/>
              <w:rPr>
                <w:rFonts w:ascii="Times New Roman" w:eastAsia="標楷體" w:hAnsi="Times New Roman"/>
                <w:sz w:val="28"/>
                <w:szCs w:val="28"/>
              </w:rPr>
            </w:pPr>
            <w:r w:rsidRPr="00D112C3">
              <w:rPr>
                <w:rFonts w:ascii="Times New Roman" w:eastAsia="標楷體" w:hAnsi="Times New Roman" w:hint="eastAsia"/>
                <w:sz w:val="28"/>
                <w:szCs w:val="28"/>
              </w:rPr>
              <w:lastRenderedPageBreak/>
              <w:t>交易獎勵參與者</w:t>
            </w:r>
            <w:r w:rsidR="00CE5214" w:rsidRPr="00D112C3">
              <w:rPr>
                <w:rFonts w:ascii="Times New Roman" w:eastAsia="標楷體" w:hAnsi="Times New Roman" w:hint="eastAsia"/>
                <w:sz w:val="28"/>
                <w:szCs w:val="28"/>
              </w:rPr>
              <w:t>按當月日平均成交量提供成交獎勵業務服務費折讓。</w:t>
            </w:r>
          </w:p>
        </w:tc>
      </w:tr>
      <w:tr w:rsidR="00CE5214" w:rsidRPr="00D112C3" w14:paraId="2D930124" w14:textId="77777777" w:rsidTr="00116BAC">
        <w:tc>
          <w:tcPr>
            <w:tcW w:w="4148" w:type="dxa"/>
          </w:tcPr>
          <w:p w14:paraId="10A734DD" w14:textId="77777777" w:rsidR="00CE5214" w:rsidRPr="00D112C3" w:rsidRDefault="00CE5214" w:rsidP="003A2BD9">
            <w:pPr>
              <w:spacing w:line="0" w:lineRule="atLeast"/>
              <w:ind w:left="567" w:hanging="567"/>
              <w:jc w:val="both"/>
              <w:rPr>
                <w:rFonts w:ascii="Times New Roman" w:eastAsia="標楷體" w:hAnsi="Times New Roman" w:cs="Times New Roman"/>
                <w:sz w:val="28"/>
                <w:szCs w:val="28"/>
              </w:rPr>
            </w:pPr>
            <w:r w:rsidRPr="00D112C3">
              <w:rPr>
                <w:rFonts w:ascii="Times New Roman" w:eastAsia="標楷體" w:hAnsi="Times New Roman" w:cs="Times New Roman" w:hint="eastAsia"/>
                <w:sz w:val="28"/>
                <w:szCs w:val="28"/>
              </w:rPr>
              <w:t>第五條</w:t>
            </w:r>
          </w:p>
          <w:p w14:paraId="7F714707" w14:textId="79A3B635" w:rsidR="00CE5214" w:rsidRPr="00D112C3" w:rsidRDefault="00CE5214" w:rsidP="003A2BD9">
            <w:pPr>
              <w:spacing w:line="0" w:lineRule="atLeast"/>
              <w:ind w:firstLine="567"/>
              <w:jc w:val="both"/>
              <w:rPr>
                <w:rFonts w:ascii="Times New Roman" w:eastAsia="標楷體" w:hAnsi="Times New Roman" w:cs="Times New Roman"/>
                <w:sz w:val="28"/>
                <w:szCs w:val="28"/>
              </w:rPr>
            </w:pPr>
            <w:r w:rsidRPr="00D112C3">
              <w:rPr>
                <w:rFonts w:ascii="Times New Roman" w:eastAsia="標楷體" w:hAnsi="Times New Roman" w:hint="eastAsia"/>
                <w:sz w:val="28"/>
                <w:szCs w:val="28"/>
              </w:rPr>
              <w:t>本標準經報請主管機關備查後公告實施，修正時亦同。</w:t>
            </w:r>
          </w:p>
        </w:tc>
        <w:tc>
          <w:tcPr>
            <w:tcW w:w="4148" w:type="dxa"/>
          </w:tcPr>
          <w:p w14:paraId="37BECB88" w14:textId="77777777" w:rsidR="00CE5214" w:rsidRPr="00D112C3" w:rsidRDefault="00CE5214" w:rsidP="003A2BD9">
            <w:pPr>
              <w:spacing w:line="0" w:lineRule="atLeast"/>
              <w:jc w:val="both"/>
              <w:rPr>
                <w:rFonts w:ascii="Times New Roman" w:eastAsia="標楷體" w:hAnsi="Times New Roman"/>
                <w:sz w:val="28"/>
                <w:szCs w:val="28"/>
              </w:rPr>
            </w:pPr>
            <w:r w:rsidRPr="00D112C3">
              <w:rPr>
                <w:rFonts w:ascii="Times New Roman" w:eastAsia="標楷體" w:hAnsi="Times New Roman" w:hint="eastAsia"/>
                <w:sz w:val="28"/>
                <w:szCs w:val="28"/>
              </w:rPr>
              <w:t>明定本標準</w:t>
            </w:r>
            <w:r w:rsidRPr="00D112C3">
              <w:rPr>
                <w:rFonts w:ascii="Times New Roman" w:eastAsia="標楷體" w:hAnsi="Times New Roman" w:cs="新細明體" w:hint="eastAsia"/>
                <w:sz w:val="28"/>
                <w:szCs w:val="28"/>
              </w:rPr>
              <w:t>之施行及修正程序。</w:t>
            </w:r>
          </w:p>
        </w:tc>
      </w:tr>
    </w:tbl>
    <w:p w14:paraId="7B9F88A8" w14:textId="77777777" w:rsidR="00F07897" w:rsidRPr="00D112C3" w:rsidRDefault="00F07897">
      <w:pPr>
        <w:rPr>
          <w:sz w:val="28"/>
          <w:szCs w:val="28"/>
        </w:rPr>
      </w:pPr>
    </w:p>
    <w:sectPr w:rsidR="00F07897" w:rsidRPr="00D112C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44425" w14:textId="77777777" w:rsidR="001F6864" w:rsidRDefault="001F6864" w:rsidP="003D5284">
      <w:r>
        <w:separator/>
      </w:r>
    </w:p>
  </w:endnote>
  <w:endnote w:type="continuationSeparator" w:id="0">
    <w:p w14:paraId="41526945" w14:textId="77777777" w:rsidR="001F6864" w:rsidRDefault="001F6864" w:rsidP="003D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911734219"/>
      <w:docPartObj>
        <w:docPartGallery w:val="Page Numbers (Bottom of Page)"/>
        <w:docPartUnique/>
      </w:docPartObj>
    </w:sdtPr>
    <w:sdtEndPr/>
    <w:sdtContent>
      <w:p w14:paraId="7FA7CF0D" w14:textId="77777777" w:rsidR="00B272CF" w:rsidRPr="003D5284" w:rsidRDefault="00B272CF">
        <w:pPr>
          <w:pStyle w:val="a6"/>
          <w:jc w:val="center"/>
          <w:rPr>
            <w:rFonts w:ascii="Times New Roman" w:hAnsi="Times New Roman" w:cs="Times New Roman"/>
          </w:rPr>
        </w:pPr>
        <w:r w:rsidRPr="003D5284">
          <w:rPr>
            <w:rFonts w:ascii="Times New Roman" w:hAnsi="Times New Roman" w:cs="Times New Roman"/>
          </w:rPr>
          <w:fldChar w:fldCharType="begin"/>
        </w:r>
        <w:r w:rsidRPr="003D5284">
          <w:rPr>
            <w:rFonts w:ascii="Times New Roman" w:hAnsi="Times New Roman" w:cs="Times New Roman"/>
          </w:rPr>
          <w:instrText>PAGE   \* MERGEFORMAT</w:instrText>
        </w:r>
        <w:r w:rsidRPr="003D5284">
          <w:rPr>
            <w:rFonts w:ascii="Times New Roman" w:hAnsi="Times New Roman" w:cs="Times New Roman"/>
          </w:rPr>
          <w:fldChar w:fldCharType="separate"/>
        </w:r>
        <w:r w:rsidR="00080740" w:rsidRPr="00080740">
          <w:rPr>
            <w:rFonts w:ascii="Times New Roman" w:hAnsi="Times New Roman" w:cs="Times New Roman"/>
            <w:noProof/>
            <w:lang w:val="zh-TW"/>
          </w:rPr>
          <w:t>1</w:t>
        </w:r>
        <w:r w:rsidRPr="003D5284">
          <w:rPr>
            <w:rFonts w:ascii="Times New Roman" w:hAnsi="Times New Roman" w:cs="Times New Roman"/>
          </w:rPr>
          <w:fldChar w:fldCharType="end"/>
        </w:r>
      </w:p>
    </w:sdtContent>
  </w:sdt>
  <w:p w14:paraId="63BF2AA5" w14:textId="77777777" w:rsidR="00B272CF" w:rsidRPr="003D5284" w:rsidRDefault="00B272CF">
    <w:pPr>
      <w:pStyle w:val="a6"/>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B0630" w14:textId="77777777" w:rsidR="001F6864" w:rsidRDefault="001F6864" w:rsidP="003D5284">
      <w:r>
        <w:separator/>
      </w:r>
    </w:p>
  </w:footnote>
  <w:footnote w:type="continuationSeparator" w:id="0">
    <w:p w14:paraId="286A71E9" w14:textId="77777777" w:rsidR="001F6864" w:rsidRDefault="001F6864" w:rsidP="003D5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4A5"/>
    <w:rsid w:val="0000233F"/>
    <w:rsid w:val="00005CB3"/>
    <w:rsid w:val="000241B5"/>
    <w:rsid w:val="00036EAD"/>
    <w:rsid w:val="000378BF"/>
    <w:rsid w:val="00046EBC"/>
    <w:rsid w:val="0006082F"/>
    <w:rsid w:val="00077383"/>
    <w:rsid w:val="00080740"/>
    <w:rsid w:val="00090FE1"/>
    <w:rsid w:val="000A0CD1"/>
    <w:rsid w:val="000B592B"/>
    <w:rsid w:val="000D0654"/>
    <w:rsid w:val="000D65EC"/>
    <w:rsid w:val="000F5322"/>
    <w:rsid w:val="000F73D7"/>
    <w:rsid w:val="00102168"/>
    <w:rsid w:val="00115EEC"/>
    <w:rsid w:val="00116BAC"/>
    <w:rsid w:val="0015787C"/>
    <w:rsid w:val="00160CCB"/>
    <w:rsid w:val="00164C29"/>
    <w:rsid w:val="00176D9A"/>
    <w:rsid w:val="00181C5D"/>
    <w:rsid w:val="001A2B99"/>
    <w:rsid w:val="001C1BE7"/>
    <w:rsid w:val="001C4EED"/>
    <w:rsid w:val="001C7690"/>
    <w:rsid w:val="001D2B8D"/>
    <w:rsid w:val="001E6533"/>
    <w:rsid w:val="001F6864"/>
    <w:rsid w:val="00203B82"/>
    <w:rsid w:val="0020527D"/>
    <w:rsid w:val="0021185A"/>
    <w:rsid w:val="002356C7"/>
    <w:rsid w:val="0024182D"/>
    <w:rsid w:val="00242C94"/>
    <w:rsid w:val="00267D16"/>
    <w:rsid w:val="00283F9F"/>
    <w:rsid w:val="0029434E"/>
    <w:rsid w:val="00295C74"/>
    <w:rsid w:val="002A1BB9"/>
    <w:rsid w:val="002B58FD"/>
    <w:rsid w:val="002D69BF"/>
    <w:rsid w:val="002F4EFF"/>
    <w:rsid w:val="0031506E"/>
    <w:rsid w:val="00316A48"/>
    <w:rsid w:val="0032664E"/>
    <w:rsid w:val="00332898"/>
    <w:rsid w:val="00334905"/>
    <w:rsid w:val="00341568"/>
    <w:rsid w:val="00383935"/>
    <w:rsid w:val="00395FA0"/>
    <w:rsid w:val="00397A46"/>
    <w:rsid w:val="003A2BD9"/>
    <w:rsid w:val="003C2DA2"/>
    <w:rsid w:val="003D5284"/>
    <w:rsid w:val="003E069E"/>
    <w:rsid w:val="003F28A4"/>
    <w:rsid w:val="003F4A65"/>
    <w:rsid w:val="00413854"/>
    <w:rsid w:val="00430E64"/>
    <w:rsid w:val="00443538"/>
    <w:rsid w:val="004466C5"/>
    <w:rsid w:val="00457566"/>
    <w:rsid w:val="00464117"/>
    <w:rsid w:val="00466481"/>
    <w:rsid w:val="0048374C"/>
    <w:rsid w:val="0048380F"/>
    <w:rsid w:val="00496DA5"/>
    <w:rsid w:val="004C16D1"/>
    <w:rsid w:val="004E1193"/>
    <w:rsid w:val="004F01B0"/>
    <w:rsid w:val="00516590"/>
    <w:rsid w:val="005228E2"/>
    <w:rsid w:val="00545C52"/>
    <w:rsid w:val="00546D28"/>
    <w:rsid w:val="00554549"/>
    <w:rsid w:val="0055766F"/>
    <w:rsid w:val="00567DB5"/>
    <w:rsid w:val="00571C0E"/>
    <w:rsid w:val="005E2F7F"/>
    <w:rsid w:val="00606E8A"/>
    <w:rsid w:val="006120EE"/>
    <w:rsid w:val="00625FE3"/>
    <w:rsid w:val="00641934"/>
    <w:rsid w:val="0064468E"/>
    <w:rsid w:val="00664074"/>
    <w:rsid w:val="00675D31"/>
    <w:rsid w:val="0068288D"/>
    <w:rsid w:val="00690A30"/>
    <w:rsid w:val="006A3B1C"/>
    <w:rsid w:val="006B4A9E"/>
    <w:rsid w:val="006C61FB"/>
    <w:rsid w:val="006C69A9"/>
    <w:rsid w:val="006C6CF5"/>
    <w:rsid w:val="006E330C"/>
    <w:rsid w:val="00700887"/>
    <w:rsid w:val="00703283"/>
    <w:rsid w:val="00710D37"/>
    <w:rsid w:val="007315BA"/>
    <w:rsid w:val="007414E1"/>
    <w:rsid w:val="00741846"/>
    <w:rsid w:val="0076796E"/>
    <w:rsid w:val="0078059C"/>
    <w:rsid w:val="00781A21"/>
    <w:rsid w:val="007A02AF"/>
    <w:rsid w:val="007A4D12"/>
    <w:rsid w:val="007B1526"/>
    <w:rsid w:val="007B1626"/>
    <w:rsid w:val="007B1A31"/>
    <w:rsid w:val="007C05E5"/>
    <w:rsid w:val="007D19D6"/>
    <w:rsid w:val="007D78F7"/>
    <w:rsid w:val="00811AB4"/>
    <w:rsid w:val="00826F40"/>
    <w:rsid w:val="0082761F"/>
    <w:rsid w:val="008601B4"/>
    <w:rsid w:val="00896917"/>
    <w:rsid w:val="008B3FDF"/>
    <w:rsid w:val="008B739E"/>
    <w:rsid w:val="008B7D4D"/>
    <w:rsid w:val="008C16DE"/>
    <w:rsid w:val="008C36E8"/>
    <w:rsid w:val="008D0EC2"/>
    <w:rsid w:val="008D5E9C"/>
    <w:rsid w:val="008D6EB1"/>
    <w:rsid w:val="008E19C9"/>
    <w:rsid w:val="008F2BB9"/>
    <w:rsid w:val="008F5FDE"/>
    <w:rsid w:val="0091640A"/>
    <w:rsid w:val="00922C50"/>
    <w:rsid w:val="009529B7"/>
    <w:rsid w:val="00953C41"/>
    <w:rsid w:val="00972ABD"/>
    <w:rsid w:val="00973118"/>
    <w:rsid w:val="009978E8"/>
    <w:rsid w:val="009A2300"/>
    <w:rsid w:val="009B7467"/>
    <w:rsid w:val="009E156C"/>
    <w:rsid w:val="009F5AAE"/>
    <w:rsid w:val="009F73DC"/>
    <w:rsid w:val="00A12578"/>
    <w:rsid w:val="00A166D3"/>
    <w:rsid w:val="00A30AE2"/>
    <w:rsid w:val="00A37325"/>
    <w:rsid w:val="00A40472"/>
    <w:rsid w:val="00A60C33"/>
    <w:rsid w:val="00A61EA5"/>
    <w:rsid w:val="00A65742"/>
    <w:rsid w:val="00AC25E3"/>
    <w:rsid w:val="00AD14A5"/>
    <w:rsid w:val="00AD1AAB"/>
    <w:rsid w:val="00AF5CAB"/>
    <w:rsid w:val="00B11F8F"/>
    <w:rsid w:val="00B2106B"/>
    <w:rsid w:val="00B21701"/>
    <w:rsid w:val="00B272CF"/>
    <w:rsid w:val="00B3204F"/>
    <w:rsid w:val="00B32AB1"/>
    <w:rsid w:val="00B33ADF"/>
    <w:rsid w:val="00B356B4"/>
    <w:rsid w:val="00B36637"/>
    <w:rsid w:val="00B40646"/>
    <w:rsid w:val="00B46199"/>
    <w:rsid w:val="00B46A25"/>
    <w:rsid w:val="00B50639"/>
    <w:rsid w:val="00BA3C13"/>
    <w:rsid w:val="00BD6DC7"/>
    <w:rsid w:val="00C0162F"/>
    <w:rsid w:val="00C03234"/>
    <w:rsid w:val="00C0354D"/>
    <w:rsid w:val="00C1250D"/>
    <w:rsid w:val="00C33B61"/>
    <w:rsid w:val="00C43D83"/>
    <w:rsid w:val="00C72B11"/>
    <w:rsid w:val="00C87504"/>
    <w:rsid w:val="00C90182"/>
    <w:rsid w:val="00C91A54"/>
    <w:rsid w:val="00CA1E9C"/>
    <w:rsid w:val="00CA47D2"/>
    <w:rsid w:val="00CA6C27"/>
    <w:rsid w:val="00CC54DC"/>
    <w:rsid w:val="00CC5D30"/>
    <w:rsid w:val="00CC6B0F"/>
    <w:rsid w:val="00CD3492"/>
    <w:rsid w:val="00CE0025"/>
    <w:rsid w:val="00CE5214"/>
    <w:rsid w:val="00CE6212"/>
    <w:rsid w:val="00CF49D9"/>
    <w:rsid w:val="00CF5EE0"/>
    <w:rsid w:val="00D04E36"/>
    <w:rsid w:val="00D11105"/>
    <w:rsid w:val="00D112C3"/>
    <w:rsid w:val="00D228E7"/>
    <w:rsid w:val="00D35CEA"/>
    <w:rsid w:val="00D6198A"/>
    <w:rsid w:val="00D77AFC"/>
    <w:rsid w:val="00DA03CD"/>
    <w:rsid w:val="00DA1597"/>
    <w:rsid w:val="00DA4516"/>
    <w:rsid w:val="00DC2198"/>
    <w:rsid w:val="00DD3B5B"/>
    <w:rsid w:val="00E07BE1"/>
    <w:rsid w:val="00E279AE"/>
    <w:rsid w:val="00E61A99"/>
    <w:rsid w:val="00E66A36"/>
    <w:rsid w:val="00E77750"/>
    <w:rsid w:val="00E878B3"/>
    <w:rsid w:val="00E87B96"/>
    <w:rsid w:val="00E94700"/>
    <w:rsid w:val="00EA2C27"/>
    <w:rsid w:val="00EA59E5"/>
    <w:rsid w:val="00EA6498"/>
    <w:rsid w:val="00ED65FA"/>
    <w:rsid w:val="00EE0B43"/>
    <w:rsid w:val="00EF4AB3"/>
    <w:rsid w:val="00F07897"/>
    <w:rsid w:val="00F10B09"/>
    <w:rsid w:val="00F275CD"/>
    <w:rsid w:val="00F34D60"/>
    <w:rsid w:val="00F5022C"/>
    <w:rsid w:val="00F53AB6"/>
    <w:rsid w:val="00F60676"/>
    <w:rsid w:val="00F655AC"/>
    <w:rsid w:val="00F810B7"/>
    <w:rsid w:val="00FA55BA"/>
    <w:rsid w:val="00FB295A"/>
    <w:rsid w:val="00FB48C7"/>
    <w:rsid w:val="00FB4DC2"/>
    <w:rsid w:val="00FB70CB"/>
    <w:rsid w:val="00FC2930"/>
    <w:rsid w:val="00FC33B1"/>
    <w:rsid w:val="00FC48AB"/>
    <w:rsid w:val="00FF7F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240D8"/>
  <w15:chartTrackingRefBased/>
  <w15:docId w15:val="{731B1781-AB6C-47D2-B641-A0AA9F06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E06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3E069E"/>
    <w:rPr>
      <w:rFonts w:ascii="細明體" w:eastAsia="細明體" w:hAnsi="細明體" w:cs="細明體"/>
      <w:kern w:val="0"/>
      <w:szCs w:val="24"/>
    </w:rPr>
  </w:style>
  <w:style w:type="table" w:styleId="a3">
    <w:name w:val="Table Grid"/>
    <w:basedOn w:val="a1"/>
    <w:uiPriority w:val="39"/>
    <w:rsid w:val="00CA1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5284"/>
    <w:pPr>
      <w:tabs>
        <w:tab w:val="center" w:pos="4153"/>
        <w:tab w:val="right" w:pos="8306"/>
      </w:tabs>
      <w:snapToGrid w:val="0"/>
    </w:pPr>
    <w:rPr>
      <w:sz w:val="20"/>
      <w:szCs w:val="20"/>
    </w:rPr>
  </w:style>
  <w:style w:type="character" w:customStyle="1" w:styleId="a5">
    <w:name w:val="頁首 字元"/>
    <w:basedOn w:val="a0"/>
    <w:link w:val="a4"/>
    <w:uiPriority w:val="99"/>
    <w:rsid w:val="003D5284"/>
    <w:rPr>
      <w:sz w:val="20"/>
      <w:szCs w:val="20"/>
    </w:rPr>
  </w:style>
  <w:style w:type="paragraph" w:styleId="a6">
    <w:name w:val="footer"/>
    <w:basedOn w:val="a"/>
    <w:link w:val="a7"/>
    <w:uiPriority w:val="99"/>
    <w:unhideWhenUsed/>
    <w:rsid w:val="003D5284"/>
    <w:pPr>
      <w:tabs>
        <w:tab w:val="center" w:pos="4153"/>
        <w:tab w:val="right" w:pos="8306"/>
      </w:tabs>
      <w:snapToGrid w:val="0"/>
    </w:pPr>
    <w:rPr>
      <w:sz w:val="20"/>
      <w:szCs w:val="20"/>
    </w:rPr>
  </w:style>
  <w:style w:type="character" w:customStyle="1" w:styleId="a7">
    <w:name w:val="頁尾 字元"/>
    <w:basedOn w:val="a0"/>
    <w:link w:val="a6"/>
    <w:uiPriority w:val="99"/>
    <w:rsid w:val="003D5284"/>
    <w:rPr>
      <w:sz w:val="20"/>
      <w:szCs w:val="20"/>
    </w:rPr>
  </w:style>
  <w:style w:type="paragraph" w:styleId="a8">
    <w:name w:val="Balloon Text"/>
    <w:basedOn w:val="a"/>
    <w:link w:val="a9"/>
    <w:uiPriority w:val="99"/>
    <w:semiHidden/>
    <w:unhideWhenUsed/>
    <w:rsid w:val="00DD3B5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B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01024">
      <w:bodyDiv w:val="1"/>
      <w:marLeft w:val="0"/>
      <w:marRight w:val="0"/>
      <w:marTop w:val="0"/>
      <w:marBottom w:val="0"/>
      <w:divBdr>
        <w:top w:val="none" w:sz="0" w:space="0" w:color="auto"/>
        <w:left w:val="none" w:sz="0" w:space="0" w:color="auto"/>
        <w:bottom w:val="none" w:sz="0" w:space="0" w:color="auto"/>
        <w:right w:val="none" w:sz="0" w:space="0" w:color="auto"/>
      </w:divBdr>
    </w:div>
    <w:div w:id="128406077">
      <w:bodyDiv w:val="1"/>
      <w:marLeft w:val="0"/>
      <w:marRight w:val="0"/>
      <w:marTop w:val="0"/>
      <w:marBottom w:val="0"/>
      <w:divBdr>
        <w:top w:val="none" w:sz="0" w:space="0" w:color="auto"/>
        <w:left w:val="none" w:sz="0" w:space="0" w:color="auto"/>
        <w:bottom w:val="none" w:sz="0" w:space="0" w:color="auto"/>
        <w:right w:val="none" w:sz="0" w:space="0" w:color="auto"/>
      </w:divBdr>
    </w:div>
    <w:div w:id="155077013">
      <w:bodyDiv w:val="1"/>
      <w:marLeft w:val="0"/>
      <w:marRight w:val="0"/>
      <w:marTop w:val="0"/>
      <w:marBottom w:val="0"/>
      <w:divBdr>
        <w:top w:val="none" w:sz="0" w:space="0" w:color="auto"/>
        <w:left w:val="none" w:sz="0" w:space="0" w:color="auto"/>
        <w:bottom w:val="none" w:sz="0" w:space="0" w:color="auto"/>
        <w:right w:val="none" w:sz="0" w:space="0" w:color="auto"/>
      </w:divBdr>
    </w:div>
    <w:div w:id="157579752">
      <w:bodyDiv w:val="1"/>
      <w:marLeft w:val="0"/>
      <w:marRight w:val="0"/>
      <w:marTop w:val="0"/>
      <w:marBottom w:val="0"/>
      <w:divBdr>
        <w:top w:val="none" w:sz="0" w:space="0" w:color="auto"/>
        <w:left w:val="none" w:sz="0" w:space="0" w:color="auto"/>
        <w:bottom w:val="none" w:sz="0" w:space="0" w:color="auto"/>
        <w:right w:val="none" w:sz="0" w:space="0" w:color="auto"/>
      </w:divBdr>
    </w:div>
    <w:div w:id="241765008">
      <w:bodyDiv w:val="1"/>
      <w:marLeft w:val="0"/>
      <w:marRight w:val="0"/>
      <w:marTop w:val="0"/>
      <w:marBottom w:val="0"/>
      <w:divBdr>
        <w:top w:val="none" w:sz="0" w:space="0" w:color="auto"/>
        <w:left w:val="none" w:sz="0" w:space="0" w:color="auto"/>
        <w:bottom w:val="none" w:sz="0" w:space="0" w:color="auto"/>
        <w:right w:val="none" w:sz="0" w:space="0" w:color="auto"/>
      </w:divBdr>
    </w:div>
    <w:div w:id="291400966">
      <w:bodyDiv w:val="1"/>
      <w:marLeft w:val="0"/>
      <w:marRight w:val="0"/>
      <w:marTop w:val="0"/>
      <w:marBottom w:val="0"/>
      <w:divBdr>
        <w:top w:val="none" w:sz="0" w:space="0" w:color="auto"/>
        <w:left w:val="none" w:sz="0" w:space="0" w:color="auto"/>
        <w:bottom w:val="none" w:sz="0" w:space="0" w:color="auto"/>
        <w:right w:val="none" w:sz="0" w:space="0" w:color="auto"/>
      </w:divBdr>
    </w:div>
    <w:div w:id="303898279">
      <w:bodyDiv w:val="1"/>
      <w:marLeft w:val="0"/>
      <w:marRight w:val="0"/>
      <w:marTop w:val="0"/>
      <w:marBottom w:val="0"/>
      <w:divBdr>
        <w:top w:val="none" w:sz="0" w:space="0" w:color="auto"/>
        <w:left w:val="none" w:sz="0" w:space="0" w:color="auto"/>
        <w:bottom w:val="none" w:sz="0" w:space="0" w:color="auto"/>
        <w:right w:val="none" w:sz="0" w:space="0" w:color="auto"/>
      </w:divBdr>
    </w:div>
    <w:div w:id="487211018">
      <w:bodyDiv w:val="1"/>
      <w:marLeft w:val="0"/>
      <w:marRight w:val="0"/>
      <w:marTop w:val="0"/>
      <w:marBottom w:val="0"/>
      <w:divBdr>
        <w:top w:val="none" w:sz="0" w:space="0" w:color="auto"/>
        <w:left w:val="none" w:sz="0" w:space="0" w:color="auto"/>
        <w:bottom w:val="none" w:sz="0" w:space="0" w:color="auto"/>
        <w:right w:val="none" w:sz="0" w:space="0" w:color="auto"/>
      </w:divBdr>
    </w:div>
    <w:div w:id="490221877">
      <w:bodyDiv w:val="1"/>
      <w:marLeft w:val="0"/>
      <w:marRight w:val="0"/>
      <w:marTop w:val="0"/>
      <w:marBottom w:val="0"/>
      <w:divBdr>
        <w:top w:val="none" w:sz="0" w:space="0" w:color="auto"/>
        <w:left w:val="none" w:sz="0" w:space="0" w:color="auto"/>
        <w:bottom w:val="none" w:sz="0" w:space="0" w:color="auto"/>
        <w:right w:val="none" w:sz="0" w:space="0" w:color="auto"/>
      </w:divBdr>
    </w:div>
    <w:div w:id="514805823">
      <w:bodyDiv w:val="1"/>
      <w:marLeft w:val="0"/>
      <w:marRight w:val="0"/>
      <w:marTop w:val="0"/>
      <w:marBottom w:val="0"/>
      <w:divBdr>
        <w:top w:val="none" w:sz="0" w:space="0" w:color="auto"/>
        <w:left w:val="none" w:sz="0" w:space="0" w:color="auto"/>
        <w:bottom w:val="none" w:sz="0" w:space="0" w:color="auto"/>
        <w:right w:val="none" w:sz="0" w:space="0" w:color="auto"/>
      </w:divBdr>
    </w:div>
    <w:div w:id="882403216">
      <w:bodyDiv w:val="1"/>
      <w:marLeft w:val="0"/>
      <w:marRight w:val="0"/>
      <w:marTop w:val="0"/>
      <w:marBottom w:val="0"/>
      <w:divBdr>
        <w:top w:val="none" w:sz="0" w:space="0" w:color="auto"/>
        <w:left w:val="none" w:sz="0" w:space="0" w:color="auto"/>
        <w:bottom w:val="none" w:sz="0" w:space="0" w:color="auto"/>
        <w:right w:val="none" w:sz="0" w:space="0" w:color="auto"/>
      </w:divBdr>
    </w:div>
    <w:div w:id="952977666">
      <w:bodyDiv w:val="1"/>
      <w:marLeft w:val="0"/>
      <w:marRight w:val="0"/>
      <w:marTop w:val="0"/>
      <w:marBottom w:val="0"/>
      <w:divBdr>
        <w:top w:val="none" w:sz="0" w:space="0" w:color="auto"/>
        <w:left w:val="none" w:sz="0" w:space="0" w:color="auto"/>
        <w:bottom w:val="none" w:sz="0" w:space="0" w:color="auto"/>
        <w:right w:val="none" w:sz="0" w:space="0" w:color="auto"/>
      </w:divBdr>
    </w:div>
    <w:div w:id="972180148">
      <w:bodyDiv w:val="1"/>
      <w:marLeft w:val="0"/>
      <w:marRight w:val="0"/>
      <w:marTop w:val="0"/>
      <w:marBottom w:val="0"/>
      <w:divBdr>
        <w:top w:val="none" w:sz="0" w:space="0" w:color="auto"/>
        <w:left w:val="none" w:sz="0" w:space="0" w:color="auto"/>
        <w:bottom w:val="none" w:sz="0" w:space="0" w:color="auto"/>
        <w:right w:val="none" w:sz="0" w:space="0" w:color="auto"/>
      </w:divBdr>
    </w:div>
    <w:div w:id="1064450417">
      <w:bodyDiv w:val="1"/>
      <w:marLeft w:val="0"/>
      <w:marRight w:val="0"/>
      <w:marTop w:val="0"/>
      <w:marBottom w:val="0"/>
      <w:divBdr>
        <w:top w:val="none" w:sz="0" w:space="0" w:color="auto"/>
        <w:left w:val="none" w:sz="0" w:space="0" w:color="auto"/>
        <w:bottom w:val="none" w:sz="0" w:space="0" w:color="auto"/>
        <w:right w:val="none" w:sz="0" w:space="0" w:color="auto"/>
      </w:divBdr>
    </w:div>
    <w:div w:id="1328904450">
      <w:bodyDiv w:val="1"/>
      <w:marLeft w:val="0"/>
      <w:marRight w:val="0"/>
      <w:marTop w:val="0"/>
      <w:marBottom w:val="0"/>
      <w:divBdr>
        <w:top w:val="none" w:sz="0" w:space="0" w:color="auto"/>
        <w:left w:val="none" w:sz="0" w:space="0" w:color="auto"/>
        <w:bottom w:val="none" w:sz="0" w:space="0" w:color="auto"/>
        <w:right w:val="none" w:sz="0" w:space="0" w:color="auto"/>
      </w:divBdr>
    </w:div>
    <w:div w:id="1537543056">
      <w:bodyDiv w:val="1"/>
      <w:marLeft w:val="0"/>
      <w:marRight w:val="0"/>
      <w:marTop w:val="0"/>
      <w:marBottom w:val="0"/>
      <w:divBdr>
        <w:top w:val="none" w:sz="0" w:space="0" w:color="auto"/>
        <w:left w:val="none" w:sz="0" w:space="0" w:color="auto"/>
        <w:bottom w:val="none" w:sz="0" w:space="0" w:color="auto"/>
        <w:right w:val="none" w:sz="0" w:space="0" w:color="auto"/>
      </w:divBdr>
    </w:div>
    <w:div w:id="1681618976">
      <w:bodyDiv w:val="1"/>
      <w:marLeft w:val="0"/>
      <w:marRight w:val="0"/>
      <w:marTop w:val="0"/>
      <w:marBottom w:val="0"/>
      <w:divBdr>
        <w:top w:val="none" w:sz="0" w:space="0" w:color="auto"/>
        <w:left w:val="none" w:sz="0" w:space="0" w:color="auto"/>
        <w:bottom w:val="none" w:sz="0" w:space="0" w:color="auto"/>
        <w:right w:val="none" w:sz="0" w:space="0" w:color="auto"/>
      </w:divBdr>
    </w:div>
    <w:div w:id="1755662906">
      <w:bodyDiv w:val="1"/>
      <w:marLeft w:val="0"/>
      <w:marRight w:val="0"/>
      <w:marTop w:val="0"/>
      <w:marBottom w:val="0"/>
      <w:divBdr>
        <w:top w:val="none" w:sz="0" w:space="0" w:color="auto"/>
        <w:left w:val="none" w:sz="0" w:space="0" w:color="auto"/>
        <w:bottom w:val="none" w:sz="0" w:space="0" w:color="auto"/>
        <w:right w:val="none" w:sz="0" w:space="0" w:color="auto"/>
      </w:divBdr>
    </w:div>
    <w:div w:id="1832673585">
      <w:bodyDiv w:val="1"/>
      <w:marLeft w:val="0"/>
      <w:marRight w:val="0"/>
      <w:marTop w:val="0"/>
      <w:marBottom w:val="0"/>
      <w:divBdr>
        <w:top w:val="none" w:sz="0" w:space="0" w:color="auto"/>
        <w:left w:val="none" w:sz="0" w:space="0" w:color="auto"/>
        <w:bottom w:val="none" w:sz="0" w:space="0" w:color="auto"/>
        <w:right w:val="none" w:sz="0" w:space="0" w:color="auto"/>
      </w:divBdr>
    </w:div>
    <w:div w:id="1837182501">
      <w:bodyDiv w:val="1"/>
      <w:marLeft w:val="0"/>
      <w:marRight w:val="0"/>
      <w:marTop w:val="0"/>
      <w:marBottom w:val="0"/>
      <w:divBdr>
        <w:top w:val="none" w:sz="0" w:space="0" w:color="auto"/>
        <w:left w:val="none" w:sz="0" w:space="0" w:color="auto"/>
        <w:bottom w:val="none" w:sz="0" w:space="0" w:color="auto"/>
        <w:right w:val="none" w:sz="0" w:space="0" w:color="auto"/>
      </w:divBdr>
    </w:div>
    <w:div w:id="1842045364">
      <w:bodyDiv w:val="1"/>
      <w:marLeft w:val="0"/>
      <w:marRight w:val="0"/>
      <w:marTop w:val="0"/>
      <w:marBottom w:val="0"/>
      <w:divBdr>
        <w:top w:val="none" w:sz="0" w:space="0" w:color="auto"/>
        <w:left w:val="none" w:sz="0" w:space="0" w:color="auto"/>
        <w:bottom w:val="none" w:sz="0" w:space="0" w:color="auto"/>
        <w:right w:val="none" w:sz="0" w:space="0" w:color="auto"/>
      </w:divBdr>
    </w:div>
    <w:div w:id="1965967176">
      <w:bodyDiv w:val="1"/>
      <w:marLeft w:val="0"/>
      <w:marRight w:val="0"/>
      <w:marTop w:val="0"/>
      <w:marBottom w:val="0"/>
      <w:divBdr>
        <w:top w:val="none" w:sz="0" w:space="0" w:color="auto"/>
        <w:left w:val="none" w:sz="0" w:space="0" w:color="auto"/>
        <w:bottom w:val="none" w:sz="0" w:space="0" w:color="auto"/>
        <w:right w:val="none" w:sz="0" w:space="0" w:color="auto"/>
      </w:divBdr>
    </w:div>
    <w:div w:id="21099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7C10C-6DA1-4CC4-A21F-F60A8E1B0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191</Words>
  <Characters>1093</Characters>
  <Application>Microsoft Office Word</Application>
  <DocSecurity>0</DocSecurity>
  <Lines>9</Lines>
  <Paragraphs>2</Paragraphs>
  <ScaleCrop>false</ScaleCrop>
  <Company>TWSE 臺灣證券交易所</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劉怡芬</dc:creator>
  <cp:keywords/>
  <dc:description/>
  <cp:lastModifiedBy>鐘珮心</cp:lastModifiedBy>
  <cp:revision>43</cp:revision>
  <cp:lastPrinted>2020-12-11T01:17:00Z</cp:lastPrinted>
  <dcterms:created xsi:type="dcterms:W3CDTF">2020-11-25T01:43:00Z</dcterms:created>
  <dcterms:modified xsi:type="dcterms:W3CDTF">2021-02-22T02:59:00Z</dcterms:modified>
</cp:coreProperties>
</file>