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CE59" w14:textId="77777777" w:rsidR="001B0F9F" w:rsidRPr="001B0F9F" w:rsidRDefault="001B0F9F" w:rsidP="00D12A78">
      <w:pPr>
        <w:overflowPunct w:val="0"/>
        <w:spacing w:line="360" w:lineRule="auto"/>
        <w:jc w:val="center"/>
        <w:rPr>
          <w:rFonts w:ascii="標楷體" w:eastAsia="標楷體" w:hAnsi="新細明體"/>
          <w:b/>
          <w:bCs/>
          <w:color w:val="000000"/>
          <w:sz w:val="36"/>
          <w:szCs w:val="36"/>
        </w:rPr>
      </w:pPr>
      <w:r w:rsidRPr="001B0F9F">
        <w:rPr>
          <w:rFonts w:ascii="標楷體" w:eastAsia="標楷體" w:hAnsi="新細明體" w:hint="eastAsia"/>
          <w:b/>
          <w:bCs/>
          <w:color w:val="000000"/>
          <w:sz w:val="36"/>
          <w:szCs w:val="36"/>
        </w:rPr>
        <w:t>財團法人中華民國證券櫃檯買賣中心</w:t>
      </w:r>
    </w:p>
    <w:p w14:paraId="44602AF6" w14:textId="550D8BA8" w:rsidR="007A4F89" w:rsidRDefault="001B0F9F" w:rsidP="00D12A78">
      <w:pPr>
        <w:overflowPunct w:val="0"/>
        <w:spacing w:line="360" w:lineRule="auto"/>
        <w:jc w:val="center"/>
        <w:rPr>
          <w:rFonts w:ascii="標楷體" w:eastAsia="標楷體" w:hAnsi="新細明體"/>
          <w:b/>
          <w:bCs/>
          <w:color w:val="000000"/>
          <w:sz w:val="36"/>
          <w:szCs w:val="36"/>
        </w:rPr>
      </w:pPr>
      <w:r w:rsidRPr="001B0F9F">
        <w:rPr>
          <w:rFonts w:ascii="標楷體" w:eastAsia="標楷體" w:hAnsi="新細明體" w:hint="eastAsia"/>
          <w:b/>
          <w:bCs/>
          <w:color w:val="000000"/>
          <w:sz w:val="36"/>
          <w:szCs w:val="36"/>
        </w:rPr>
        <w:t>「</w:t>
      </w:r>
      <w:proofErr w:type="gramStart"/>
      <w:r w:rsidR="00C07CE5">
        <w:rPr>
          <w:rFonts w:ascii="標楷體" w:eastAsia="標楷體" w:hAnsi="新細明體" w:hint="eastAsia"/>
          <w:b/>
          <w:bCs/>
          <w:color w:val="000000"/>
          <w:sz w:val="36"/>
          <w:szCs w:val="36"/>
        </w:rPr>
        <w:t>興櫃股票</w:t>
      </w:r>
      <w:proofErr w:type="gramEnd"/>
      <w:r w:rsidR="00C07CE5">
        <w:rPr>
          <w:rFonts w:ascii="標楷體" w:eastAsia="標楷體" w:hAnsi="新細明體" w:hint="eastAsia"/>
          <w:b/>
          <w:bCs/>
          <w:color w:val="000000"/>
          <w:sz w:val="36"/>
          <w:szCs w:val="36"/>
        </w:rPr>
        <w:t>買賣辦法</w:t>
      </w:r>
      <w:r w:rsidRPr="001B0F9F">
        <w:rPr>
          <w:rFonts w:ascii="標楷體" w:eastAsia="標楷體" w:hAnsi="新細明體" w:hint="eastAsia"/>
          <w:b/>
          <w:bCs/>
          <w:color w:val="000000"/>
          <w:sz w:val="36"/>
          <w:szCs w:val="36"/>
        </w:rPr>
        <w:t>」等</w:t>
      </w:r>
      <w:r w:rsidR="00C07CE5">
        <w:rPr>
          <w:rFonts w:ascii="標楷體" w:eastAsia="標楷體" w:hAnsi="新細明體" w:hint="eastAsia"/>
          <w:b/>
          <w:bCs/>
          <w:color w:val="000000"/>
          <w:sz w:val="36"/>
          <w:szCs w:val="36"/>
        </w:rPr>
        <w:t>十三</w:t>
      </w:r>
      <w:r w:rsidR="00901D32">
        <w:rPr>
          <w:rFonts w:ascii="標楷體" w:eastAsia="標楷體" w:hAnsi="新細明體" w:hint="eastAsia"/>
          <w:b/>
          <w:bCs/>
          <w:color w:val="000000"/>
          <w:sz w:val="36"/>
          <w:szCs w:val="36"/>
        </w:rPr>
        <w:t>項</w:t>
      </w:r>
      <w:r w:rsidRPr="001B0F9F">
        <w:rPr>
          <w:rFonts w:ascii="標楷體" w:eastAsia="標楷體" w:hAnsi="新細明體" w:hint="eastAsia"/>
          <w:b/>
          <w:bCs/>
          <w:color w:val="000000"/>
          <w:sz w:val="36"/>
          <w:szCs w:val="36"/>
        </w:rPr>
        <w:t>規章修正總說明</w:t>
      </w:r>
    </w:p>
    <w:p w14:paraId="66DF1206" w14:textId="1D69E1A1" w:rsidR="009A602E" w:rsidRPr="00007504" w:rsidRDefault="00C07CE5" w:rsidP="00C07CE5">
      <w:pPr>
        <w:spacing w:line="480" w:lineRule="exact"/>
        <w:jc w:val="both"/>
        <w:rPr>
          <w:rFonts w:ascii="標楷體" w:eastAsia="標楷體" w:hAnsi="標楷體"/>
          <w:b/>
          <w:sz w:val="32"/>
          <w:szCs w:val="28"/>
        </w:rPr>
      </w:pPr>
      <w:r>
        <w:rPr>
          <w:rFonts w:ascii="標楷體" w:eastAsia="標楷體" w:hAnsi="標楷體" w:hint="eastAsia"/>
          <w:sz w:val="28"/>
          <w:szCs w:val="28"/>
        </w:rPr>
        <w:t xml:space="preserve">    </w:t>
      </w:r>
      <w:r w:rsidRPr="00C07CE5">
        <w:rPr>
          <w:rFonts w:ascii="標楷體" w:eastAsia="標楷體" w:hAnsi="標楷體" w:hint="eastAsia"/>
          <w:sz w:val="28"/>
          <w:szCs w:val="28"/>
        </w:rPr>
        <w:t>為協助核心戰略產業及其他創新產業之發展，本中心規劃</w:t>
      </w:r>
      <w:proofErr w:type="gramStart"/>
      <w:r w:rsidRPr="00C07CE5">
        <w:rPr>
          <w:rFonts w:ascii="標楷體" w:eastAsia="標楷體" w:hAnsi="標楷體" w:hint="eastAsia"/>
          <w:sz w:val="28"/>
          <w:szCs w:val="28"/>
        </w:rPr>
        <w:t>將興櫃市場</w:t>
      </w:r>
      <w:proofErr w:type="gramEnd"/>
      <w:r w:rsidRPr="00C07CE5">
        <w:rPr>
          <w:rFonts w:ascii="標楷體" w:eastAsia="標楷體" w:hAnsi="標楷體" w:hint="eastAsia"/>
          <w:sz w:val="28"/>
          <w:szCs w:val="28"/>
        </w:rPr>
        <w:t>劃分為兩個板塊，即「一般板」(同</w:t>
      </w:r>
      <w:proofErr w:type="gramStart"/>
      <w:r w:rsidRPr="00C07CE5">
        <w:rPr>
          <w:rFonts w:ascii="標楷體" w:eastAsia="標楷體" w:hAnsi="標楷體" w:hint="eastAsia"/>
          <w:sz w:val="28"/>
          <w:szCs w:val="28"/>
        </w:rPr>
        <w:t>現行興櫃股票</w:t>
      </w:r>
      <w:proofErr w:type="gramEnd"/>
      <w:r w:rsidRPr="00C07CE5">
        <w:rPr>
          <w:rFonts w:ascii="標楷體" w:eastAsia="標楷體" w:hAnsi="標楷體" w:hint="eastAsia"/>
          <w:sz w:val="28"/>
          <w:szCs w:val="28"/>
        </w:rPr>
        <w:t>)及「戰略新板」。在交易制度上，戰略</w:t>
      </w:r>
      <w:proofErr w:type="gramStart"/>
      <w:r w:rsidRPr="00C07CE5">
        <w:rPr>
          <w:rFonts w:ascii="標楷體" w:eastAsia="標楷體" w:hAnsi="標楷體" w:hint="eastAsia"/>
          <w:sz w:val="28"/>
          <w:szCs w:val="28"/>
        </w:rPr>
        <w:t>新板同上櫃</w:t>
      </w:r>
      <w:proofErr w:type="gramEnd"/>
      <w:r w:rsidRPr="00C07CE5">
        <w:rPr>
          <w:rFonts w:ascii="標楷體" w:eastAsia="標楷體" w:hAnsi="標楷體" w:hint="eastAsia"/>
          <w:sz w:val="28"/>
          <w:szCs w:val="28"/>
        </w:rPr>
        <w:t>股票</w:t>
      </w:r>
      <w:proofErr w:type="gramStart"/>
      <w:r w:rsidRPr="00C07CE5">
        <w:rPr>
          <w:rFonts w:ascii="標楷體" w:eastAsia="標楷體" w:hAnsi="標楷體" w:hint="eastAsia"/>
          <w:sz w:val="28"/>
          <w:szCs w:val="28"/>
        </w:rPr>
        <w:t>採</w:t>
      </w:r>
      <w:proofErr w:type="gramEnd"/>
      <w:r w:rsidRPr="00C07CE5">
        <w:rPr>
          <w:rFonts w:ascii="標楷體" w:eastAsia="標楷體" w:hAnsi="標楷體" w:hint="eastAsia"/>
          <w:sz w:val="28"/>
          <w:szCs w:val="28"/>
        </w:rPr>
        <w:t>自動撮合成交機制，並導入推薦證券商擔任流動量提供者，</w:t>
      </w:r>
      <w:proofErr w:type="gramStart"/>
      <w:r w:rsidRPr="00C07CE5">
        <w:rPr>
          <w:rFonts w:ascii="標楷體" w:eastAsia="標楷體" w:hAnsi="標楷體" w:hint="eastAsia"/>
          <w:sz w:val="28"/>
          <w:szCs w:val="28"/>
        </w:rPr>
        <w:t>爰</w:t>
      </w:r>
      <w:proofErr w:type="gramEnd"/>
      <w:r w:rsidRPr="00C07CE5">
        <w:rPr>
          <w:rFonts w:ascii="標楷體" w:eastAsia="標楷體" w:hAnsi="標楷體" w:hint="eastAsia"/>
          <w:sz w:val="28"/>
          <w:szCs w:val="28"/>
        </w:rPr>
        <w:t>修正本</w:t>
      </w:r>
      <w:proofErr w:type="gramStart"/>
      <w:r w:rsidRPr="00C07CE5">
        <w:rPr>
          <w:rFonts w:ascii="標楷體" w:eastAsia="標楷體" w:hAnsi="標楷體" w:hint="eastAsia"/>
          <w:sz w:val="28"/>
          <w:szCs w:val="28"/>
        </w:rPr>
        <w:t>中心興櫃股票</w:t>
      </w:r>
      <w:proofErr w:type="gramEnd"/>
      <w:r w:rsidRPr="00C07CE5">
        <w:rPr>
          <w:rFonts w:ascii="標楷體" w:eastAsia="標楷體" w:hAnsi="標楷體" w:hint="eastAsia"/>
          <w:sz w:val="28"/>
          <w:szCs w:val="28"/>
        </w:rPr>
        <w:t>買賣辦法等十</w:t>
      </w:r>
      <w:r>
        <w:rPr>
          <w:rFonts w:ascii="標楷體" w:eastAsia="標楷體" w:hAnsi="標楷體" w:hint="eastAsia"/>
          <w:sz w:val="28"/>
          <w:szCs w:val="28"/>
        </w:rPr>
        <w:t>三</w:t>
      </w:r>
      <w:r w:rsidRPr="00C07CE5">
        <w:rPr>
          <w:rFonts w:ascii="標楷體" w:eastAsia="標楷體" w:hAnsi="標楷體" w:hint="eastAsia"/>
          <w:sz w:val="28"/>
          <w:szCs w:val="28"/>
        </w:rPr>
        <w:t>項規章，謹</w:t>
      </w:r>
      <w:proofErr w:type="gramStart"/>
      <w:r w:rsidRPr="00C07CE5">
        <w:rPr>
          <w:rFonts w:ascii="標楷體" w:eastAsia="標楷體" w:hAnsi="標楷體" w:hint="eastAsia"/>
          <w:sz w:val="28"/>
          <w:szCs w:val="28"/>
        </w:rPr>
        <w:t>臚</w:t>
      </w:r>
      <w:proofErr w:type="gramEnd"/>
      <w:r w:rsidRPr="00C07CE5">
        <w:rPr>
          <w:rFonts w:ascii="標楷體" w:eastAsia="標楷體" w:hAnsi="標楷體" w:hint="eastAsia"/>
          <w:sz w:val="28"/>
          <w:szCs w:val="28"/>
        </w:rPr>
        <w:t>列修正要點如下：</w:t>
      </w:r>
      <w:r w:rsidRPr="00007504">
        <w:rPr>
          <w:rFonts w:ascii="標楷體" w:eastAsia="標楷體" w:hAnsi="標楷體"/>
          <w:b/>
          <w:sz w:val="32"/>
          <w:szCs w:val="28"/>
        </w:rPr>
        <w:t xml:space="preserve"> </w:t>
      </w:r>
    </w:p>
    <w:p w14:paraId="383339AB" w14:textId="748F807A" w:rsidR="009A602E" w:rsidRDefault="00C07CE5" w:rsidP="00C07CE5">
      <w:pPr>
        <w:pStyle w:val="a7"/>
        <w:tabs>
          <w:tab w:val="left" w:pos="709"/>
        </w:tabs>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一、</w:t>
      </w:r>
      <w:proofErr w:type="gramStart"/>
      <w:r w:rsidR="009A602E" w:rsidRPr="009A602E">
        <w:rPr>
          <w:rFonts w:ascii="標楷體" w:eastAsia="標楷體" w:hAnsi="標楷體" w:hint="eastAsia"/>
          <w:sz w:val="28"/>
          <w:szCs w:val="28"/>
        </w:rPr>
        <w:t>興櫃股票</w:t>
      </w:r>
      <w:proofErr w:type="gramEnd"/>
      <w:r w:rsidR="009A602E" w:rsidRPr="009A602E">
        <w:rPr>
          <w:rFonts w:ascii="標楷體" w:eastAsia="標楷體" w:hAnsi="標楷體" w:hint="eastAsia"/>
          <w:sz w:val="28"/>
          <w:szCs w:val="28"/>
        </w:rPr>
        <w:t>買賣辦法</w:t>
      </w:r>
    </w:p>
    <w:p w14:paraId="651C9DF0" w14:textId="4EBACF0A" w:rsidR="009A602E" w:rsidRDefault="009A602E"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第二章調整為一般板適用，原第二章至第四章則依序整</w:t>
      </w:r>
      <w:proofErr w:type="gramStart"/>
      <w:r w:rsidRPr="009A602E">
        <w:rPr>
          <w:rFonts w:ascii="標楷體" w:eastAsia="標楷體" w:hAnsi="標楷體" w:hint="eastAsia"/>
          <w:sz w:val="28"/>
          <w:szCs w:val="28"/>
        </w:rPr>
        <w:t>併</w:t>
      </w:r>
      <w:proofErr w:type="gramEnd"/>
      <w:r w:rsidRPr="009A602E">
        <w:rPr>
          <w:rFonts w:ascii="標楷體" w:eastAsia="標楷體" w:hAnsi="標楷體" w:hint="eastAsia"/>
          <w:sz w:val="28"/>
          <w:szCs w:val="28"/>
        </w:rPr>
        <w:t>為第二章第一節至第三節，並增訂第三章為「戰略新板交易及給付結算」專章，訂定戰略新板股票交易及給付結算等相關規範(共增訂18條)。</w:t>
      </w:r>
    </w:p>
    <w:p w14:paraId="6C6FB136" w14:textId="111D0112" w:rsidR="009A602E" w:rsidRDefault="009A602E"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w:t>
      </w:r>
      <w:proofErr w:type="gramStart"/>
      <w:r w:rsidRPr="009A602E">
        <w:rPr>
          <w:rFonts w:ascii="標楷體" w:eastAsia="標楷體" w:hAnsi="標楷體" w:hint="eastAsia"/>
          <w:sz w:val="28"/>
          <w:szCs w:val="28"/>
        </w:rPr>
        <w:t>定興櫃</w:t>
      </w:r>
      <w:proofErr w:type="gramEnd"/>
      <w:r w:rsidR="00CD663A">
        <w:rPr>
          <w:rFonts w:ascii="標楷體" w:eastAsia="標楷體" w:hAnsi="標楷體" w:hint="eastAsia"/>
          <w:sz w:val="28"/>
          <w:szCs w:val="28"/>
        </w:rPr>
        <w:t>股票</w:t>
      </w:r>
      <w:r w:rsidRPr="009A602E">
        <w:rPr>
          <w:rFonts w:ascii="標楷體" w:eastAsia="標楷體" w:hAnsi="標楷體" w:hint="eastAsia"/>
          <w:sz w:val="28"/>
          <w:szCs w:val="28"/>
        </w:rPr>
        <w:t>市場區分為一般板及戰略新板兩個板塊，且推薦證券商對其推薦之一般板股票負報價及</w:t>
      </w:r>
      <w:proofErr w:type="gramStart"/>
      <w:r w:rsidRPr="009A602E">
        <w:rPr>
          <w:rFonts w:ascii="標楷體" w:eastAsia="標楷體" w:hAnsi="標楷體" w:hint="eastAsia"/>
          <w:sz w:val="28"/>
          <w:szCs w:val="28"/>
        </w:rPr>
        <w:t>應買應賣</w:t>
      </w:r>
      <w:proofErr w:type="gramEnd"/>
      <w:r w:rsidRPr="009A602E">
        <w:rPr>
          <w:rFonts w:ascii="標楷體" w:eastAsia="標楷體" w:hAnsi="標楷體" w:hint="eastAsia"/>
          <w:sz w:val="28"/>
          <w:szCs w:val="28"/>
        </w:rPr>
        <w:t>義務、對戰略新板股票提供流動性買賣報價(第</w:t>
      </w:r>
      <w:r>
        <w:rPr>
          <w:rFonts w:ascii="標楷體" w:eastAsia="標楷體" w:hAnsi="標楷體" w:hint="eastAsia"/>
          <w:sz w:val="28"/>
          <w:szCs w:val="28"/>
        </w:rPr>
        <w:t>3</w:t>
      </w:r>
      <w:r w:rsidRPr="009A602E">
        <w:rPr>
          <w:rFonts w:ascii="標楷體" w:eastAsia="標楷體" w:hAnsi="標楷體" w:hint="eastAsia"/>
          <w:sz w:val="28"/>
          <w:szCs w:val="28"/>
        </w:rPr>
        <w:t>條)。</w:t>
      </w:r>
    </w:p>
    <w:p w14:paraId="1A6D0DE3" w14:textId="539F475B" w:rsidR="009A602E" w:rsidRDefault="00817A41" w:rsidP="00C07CE5">
      <w:pPr>
        <w:pStyle w:val="a7"/>
        <w:numPr>
          <w:ilvl w:val="0"/>
          <w:numId w:val="19"/>
        </w:numPr>
        <w:spacing w:line="480" w:lineRule="exact"/>
        <w:ind w:leftChars="0" w:left="851" w:hanging="567"/>
        <w:jc w:val="both"/>
        <w:rPr>
          <w:rFonts w:ascii="標楷體" w:eastAsia="標楷體" w:hAnsi="標楷體"/>
          <w:sz w:val="28"/>
          <w:szCs w:val="28"/>
        </w:rPr>
      </w:pPr>
      <w:r>
        <w:rPr>
          <w:rFonts w:ascii="標楷體" w:eastAsia="標楷體" w:hAnsi="標楷體" w:hint="eastAsia"/>
          <w:sz w:val="28"/>
          <w:szCs w:val="28"/>
        </w:rPr>
        <w:t>明定</w:t>
      </w:r>
      <w:r w:rsidR="009A602E" w:rsidRPr="009A602E">
        <w:rPr>
          <w:rFonts w:ascii="標楷體" w:eastAsia="標楷體" w:hAnsi="標楷體" w:hint="eastAsia"/>
          <w:sz w:val="28"/>
          <w:szCs w:val="28"/>
        </w:rPr>
        <w:t>有關戰略新板股票交易制度之規範(第</w:t>
      </w:r>
      <w:r w:rsidR="009A602E">
        <w:rPr>
          <w:rFonts w:ascii="標楷體" w:eastAsia="標楷體" w:hAnsi="標楷體" w:hint="eastAsia"/>
          <w:sz w:val="28"/>
          <w:szCs w:val="28"/>
        </w:rPr>
        <w:t>39條至第</w:t>
      </w:r>
      <w:r>
        <w:rPr>
          <w:rFonts w:ascii="標楷體" w:eastAsia="標楷體" w:hAnsi="標楷體" w:hint="eastAsia"/>
          <w:sz w:val="28"/>
          <w:szCs w:val="28"/>
        </w:rPr>
        <w:t>41</w:t>
      </w:r>
      <w:r w:rsidR="009A602E" w:rsidRPr="009A602E">
        <w:rPr>
          <w:rFonts w:ascii="標楷體" w:eastAsia="標楷體" w:hAnsi="標楷體" w:hint="eastAsia"/>
          <w:sz w:val="28"/>
          <w:szCs w:val="28"/>
        </w:rPr>
        <w:t>條</w:t>
      </w:r>
      <w:r>
        <w:rPr>
          <w:rFonts w:ascii="標楷體" w:eastAsia="標楷體" w:hAnsi="標楷體" w:hint="eastAsia"/>
          <w:sz w:val="28"/>
          <w:szCs w:val="28"/>
        </w:rPr>
        <w:t>、</w:t>
      </w:r>
      <w:r w:rsidRPr="00817A41">
        <w:rPr>
          <w:rFonts w:ascii="標楷體" w:eastAsia="標楷體" w:hAnsi="標楷體" w:hint="eastAsia"/>
          <w:sz w:val="28"/>
          <w:szCs w:val="28"/>
        </w:rPr>
        <w:t>第43條至第50條</w:t>
      </w:r>
      <w:r w:rsidR="009A602E" w:rsidRPr="009A602E">
        <w:rPr>
          <w:rFonts w:ascii="標楷體" w:eastAsia="標楷體" w:hAnsi="標楷體" w:hint="eastAsia"/>
          <w:sz w:val="28"/>
          <w:szCs w:val="28"/>
        </w:rPr>
        <w:t>)。</w:t>
      </w:r>
    </w:p>
    <w:p w14:paraId="4EA9E108" w14:textId="25156E28" w:rsidR="00817A41" w:rsidRPr="00817A41" w:rsidRDefault="00817A41" w:rsidP="00C07CE5">
      <w:pPr>
        <w:pStyle w:val="a7"/>
        <w:numPr>
          <w:ilvl w:val="0"/>
          <w:numId w:val="19"/>
        </w:numPr>
        <w:spacing w:line="480" w:lineRule="exact"/>
        <w:ind w:leftChars="0" w:left="851" w:hanging="567"/>
        <w:jc w:val="both"/>
        <w:rPr>
          <w:rFonts w:ascii="標楷體" w:eastAsia="標楷體" w:hAnsi="標楷體"/>
          <w:sz w:val="28"/>
          <w:szCs w:val="28"/>
        </w:rPr>
      </w:pPr>
      <w:r w:rsidRPr="00817A41">
        <w:rPr>
          <w:rFonts w:ascii="標楷體" w:eastAsia="標楷體" w:hAnsi="標楷體" w:hint="eastAsia"/>
          <w:sz w:val="28"/>
          <w:szCs w:val="28"/>
        </w:rPr>
        <w:t>明定戰略新板股票開始櫃檯買賣首日參考價格為輔導推薦證券商之加權平均認購價格(第42條)。</w:t>
      </w:r>
    </w:p>
    <w:p w14:paraId="64BA8458" w14:textId="20813E62" w:rsidR="009A602E" w:rsidRPr="009A602E" w:rsidRDefault="009A602E"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明定戰略新板投資人資格條件及屬自然人之合格投資人應簽署戰略新板風險預告書(第</w:t>
      </w:r>
      <w:r>
        <w:rPr>
          <w:rFonts w:ascii="標楷體" w:eastAsia="標楷體" w:hAnsi="標楷體" w:hint="eastAsia"/>
          <w:sz w:val="28"/>
          <w:szCs w:val="28"/>
        </w:rPr>
        <w:t>51</w:t>
      </w:r>
      <w:r w:rsidRPr="009A602E">
        <w:rPr>
          <w:rFonts w:ascii="標楷體" w:eastAsia="標楷體" w:hAnsi="標楷體" w:hint="eastAsia"/>
          <w:sz w:val="28"/>
          <w:szCs w:val="28"/>
        </w:rPr>
        <w:t>條)。</w:t>
      </w:r>
    </w:p>
    <w:p w14:paraId="62741DBA" w14:textId="3B164659" w:rsidR="009A602E" w:rsidRPr="009A602E" w:rsidRDefault="009A602E"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明定戰略新板流動量提供者相關規範(第</w:t>
      </w:r>
      <w:r>
        <w:rPr>
          <w:rFonts w:ascii="標楷體" w:eastAsia="標楷體" w:hAnsi="標楷體" w:hint="eastAsia"/>
          <w:sz w:val="28"/>
          <w:szCs w:val="28"/>
        </w:rPr>
        <w:t>52</w:t>
      </w:r>
      <w:r w:rsidRPr="009A602E">
        <w:rPr>
          <w:rFonts w:ascii="標楷體" w:eastAsia="標楷體" w:hAnsi="標楷體" w:hint="eastAsia"/>
          <w:sz w:val="28"/>
          <w:szCs w:val="28"/>
        </w:rPr>
        <w:t>條</w:t>
      </w:r>
      <w:r w:rsidR="00817A41">
        <w:rPr>
          <w:rFonts w:ascii="標楷體" w:eastAsia="標楷體" w:hAnsi="標楷體" w:hint="eastAsia"/>
          <w:sz w:val="28"/>
          <w:szCs w:val="28"/>
        </w:rPr>
        <w:t>及</w:t>
      </w:r>
      <w:r w:rsidRPr="009A602E">
        <w:rPr>
          <w:rFonts w:ascii="標楷體" w:eastAsia="標楷體" w:hAnsi="標楷體" w:hint="eastAsia"/>
          <w:sz w:val="28"/>
          <w:szCs w:val="28"/>
        </w:rPr>
        <w:t>第</w:t>
      </w:r>
      <w:r>
        <w:rPr>
          <w:rFonts w:ascii="標楷體" w:eastAsia="標楷體" w:hAnsi="標楷體" w:hint="eastAsia"/>
          <w:sz w:val="28"/>
          <w:szCs w:val="28"/>
        </w:rPr>
        <w:t>53</w:t>
      </w:r>
      <w:r w:rsidRPr="009A602E">
        <w:rPr>
          <w:rFonts w:ascii="標楷體" w:eastAsia="標楷體" w:hAnsi="標楷體" w:hint="eastAsia"/>
          <w:sz w:val="28"/>
          <w:szCs w:val="28"/>
        </w:rPr>
        <w:t>條)。</w:t>
      </w:r>
    </w:p>
    <w:p w14:paraId="1BA548C8" w14:textId="60958957" w:rsidR="009A602E" w:rsidRPr="009A602E" w:rsidRDefault="00817A41"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有關證券商受託買賣及自行買賣戰略新板股票之規範(第</w:t>
      </w:r>
      <w:r w:rsidR="009A602E">
        <w:rPr>
          <w:rFonts w:ascii="標楷體" w:eastAsia="標楷體" w:hAnsi="標楷體" w:hint="eastAsia"/>
          <w:sz w:val="28"/>
          <w:szCs w:val="28"/>
        </w:rPr>
        <w:t>54</w:t>
      </w:r>
      <w:r w:rsidR="009A602E" w:rsidRPr="009A602E">
        <w:rPr>
          <w:rFonts w:ascii="標楷體" w:eastAsia="標楷體" w:hAnsi="標楷體" w:hint="eastAsia"/>
          <w:sz w:val="28"/>
          <w:szCs w:val="28"/>
        </w:rPr>
        <w:t>條及第</w:t>
      </w:r>
      <w:r w:rsidR="009A602E">
        <w:rPr>
          <w:rFonts w:ascii="標楷體" w:eastAsia="標楷體" w:hAnsi="標楷體" w:hint="eastAsia"/>
          <w:sz w:val="28"/>
          <w:szCs w:val="28"/>
        </w:rPr>
        <w:t>55</w:t>
      </w:r>
      <w:r w:rsidR="009A602E" w:rsidRPr="009A602E">
        <w:rPr>
          <w:rFonts w:ascii="標楷體" w:eastAsia="標楷體" w:hAnsi="標楷體" w:hint="eastAsia"/>
          <w:sz w:val="28"/>
          <w:szCs w:val="28"/>
        </w:rPr>
        <w:t>條)。</w:t>
      </w:r>
    </w:p>
    <w:p w14:paraId="2EE5DCD3" w14:textId="3F713BD1" w:rsidR="009A602E" w:rsidRPr="009A602E" w:rsidRDefault="00817A41"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有關戰略新板給付結算之規範(第</w:t>
      </w:r>
      <w:r w:rsidR="009A602E">
        <w:rPr>
          <w:rFonts w:ascii="標楷體" w:eastAsia="標楷體" w:hAnsi="標楷體" w:hint="eastAsia"/>
          <w:sz w:val="28"/>
          <w:szCs w:val="28"/>
        </w:rPr>
        <w:t>56</w:t>
      </w:r>
      <w:r w:rsidR="009A602E" w:rsidRPr="009A602E">
        <w:rPr>
          <w:rFonts w:ascii="標楷體" w:eastAsia="標楷體" w:hAnsi="標楷體" w:hint="eastAsia"/>
          <w:sz w:val="28"/>
          <w:szCs w:val="28"/>
        </w:rPr>
        <w:t>條)。</w:t>
      </w:r>
    </w:p>
    <w:p w14:paraId="43555F06" w14:textId="75F44409" w:rsidR="009A602E" w:rsidRPr="009A602E" w:rsidRDefault="00817A41" w:rsidP="00C07CE5">
      <w:pPr>
        <w:pStyle w:val="a7"/>
        <w:numPr>
          <w:ilvl w:val="0"/>
          <w:numId w:val="19"/>
        </w:numPr>
        <w:spacing w:line="480" w:lineRule="exact"/>
        <w:ind w:leftChars="0" w:left="851" w:hanging="567"/>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證券商及流動量提供者違反戰略新板股票相關規定之罰則及</w:t>
      </w:r>
      <w:proofErr w:type="gramStart"/>
      <w:r w:rsidR="009A602E" w:rsidRPr="009A602E">
        <w:rPr>
          <w:rFonts w:ascii="標楷體" w:eastAsia="標楷體" w:hAnsi="標楷體" w:hint="eastAsia"/>
          <w:sz w:val="28"/>
          <w:szCs w:val="28"/>
        </w:rPr>
        <w:t>調整條號</w:t>
      </w:r>
      <w:proofErr w:type="gramEnd"/>
      <w:r w:rsidR="009A602E" w:rsidRPr="009A602E">
        <w:rPr>
          <w:rFonts w:ascii="標楷體" w:eastAsia="標楷體" w:hAnsi="標楷體" w:hint="eastAsia"/>
          <w:sz w:val="28"/>
          <w:szCs w:val="28"/>
        </w:rPr>
        <w:t>(第</w:t>
      </w:r>
      <w:r w:rsidR="009A602E">
        <w:rPr>
          <w:rFonts w:ascii="標楷體" w:eastAsia="標楷體" w:hAnsi="標楷體" w:hint="eastAsia"/>
          <w:sz w:val="28"/>
          <w:szCs w:val="28"/>
        </w:rPr>
        <w:t>57</w:t>
      </w:r>
      <w:r w:rsidR="009A602E" w:rsidRPr="009A602E">
        <w:rPr>
          <w:rFonts w:ascii="標楷體" w:eastAsia="標楷體" w:hAnsi="標楷體" w:hint="eastAsia"/>
          <w:sz w:val="28"/>
          <w:szCs w:val="28"/>
        </w:rPr>
        <w:t>條至第</w:t>
      </w:r>
      <w:r w:rsidR="009A602E">
        <w:rPr>
          <w:rFonts w:ascii="標楷體" w:eastAsia="標楷體" w:hAnsi="標楷體" w:hint="eastAsia"/>
          <w:sz w:val="28"/>
          <w:szCs w:val="28"/>
        </w:rPr>
        <w:t>63</w:t>
      </w:r>
      <w:r w:rsidR="009A602E" w:rsidRPr="009A602E">
        <w:rPr>
          <w:rFonts w:ascii="標楷體" w:eastAsia="標楷體" w:hAnsi="標楷體" w:hint="eastAsia"/>
          <w:sz w:val="28"/>
          <w:szCs w:val="28"/>
        </w:rPr>
        <w:t>條)。</w:t>
      </w:r>
    </w:p>
    <w:p w14:paraId="3D2B30E3" w14:textId="36E30BD3" w:rsidR="009A602E" w:rsidRPr="009A602E" w:rsidRDefault="009A602E" w:rsidP="00C07CE5">
      <w:pPr>
        <w:pStyle w:val="a7"/>
        <w:numPr>
          <w:ilvl w:val="0"/>
          <w:numId w:val="19"/>
        </w:numPr>
        <w:spacing w:line="480" w:lineRule="exact"/>
        <w:ind w:leftChars="0" w:left="851" w:hanging="567"/>
        <w:jc w:val="both"/>
        <w:rPr>
          <w:rFonts w:ascii="標楷體" w:eastAsia="標楷體" w:hAnsi="標楷體"/>
          <w:sz w:val="28"/>
          <w:szCs w:val="28"/>
        </w:rPr>
      </w:pPr>
      <w:proofErr w:type="gramStart"/>
      <w:r w:rsidRPr="009A602E">
        <w:rPr>
          <w:rFonts w:ascii="標楷體" w:eastAsia="標楷體" w:hAnsi="標楷體" w:hint="eastAsia"/>
          <w:sz w:val="28"/>
          <w:szCs w:val="28"/>
        </w:rPr>
        <w:t>配合興櫃</w:t>
      </w:r>
      <w:r w:rsidR="00CD663A">
        <w:rPr>
          <w:rFonts w:ascii="標楷體" w:eastAsia="標楷體" w:hAnsi="標楷體" w:hint="eastAsia"/>
          <w:sz w:val="28"/>
          <w:szCs w:val="28"/>
        </w:rPr>
        <w:t>股票</w:t>
      </w:r>
      <w:r w:rsidRPr="009A602E">
        <w:rPr>
          <w:rFonts w:ascii="標楷體" w:eastAsia="標楷體" w:hAnsi="標楷體" w:hint="eastAsia"/>
          <w:sz w:val="28"/>
          <w:szCs w:val="28"/>
        </w:rPr>
        <w:t>市場</w:t>
      </w:r>
      <w:proofErr w:type="gramEnd"/>
      <w:r w:rsidRPr="009A602E">
        <w:rPr>
          <w:rFonts w:ascii="標楷體" w:eastAsia="標楷體" w:hAnsi="標楷體" w:hint="eastAsia"/>
          <w:sz w:val="28"/>
          <w:szCs w:val="28"/>
        </w:rPr>
        <w:t>增設戰略新板股票，</w:t>
      </w:r>
      <w:proofErr w:type="gramStart"/>
      <w:r w:rsidRPr="009A602E">
        <w:rPr>
          <w:rFonts w:ascii="標楷體" w:eastAsia="標楷體" w:hAnsi="標楷體" w:hint="eastAsia"/>
          <w:sz w:val="28"/>
          <w:szCs w:val="28"/>
        </w:rPr>
        <w:t>條文酌作文字</w:t>
      </w:r>
      <w:proofErr w:type="gramEnd"/>
      <w:r w:rsidRPr="009A602E">
        <w:rPr>
          <w:rFonts w:ascii="標楷體" w:eastAsia="標楷體" w:hAnsi="標楷體" w:hint="eastAsia"/>
          <w:sz w:val="28"/>
          <w:szCs w:val="28"/>
        </w:rPr>
        <w:t>調整(第</w:t>
      </w:r>
      <w:r w:rsidR="00D53D22">
        <w:rPr>
          <w:rFonts w:ascii="標楷體" w:eastAsia="標楷體" w:hAnsi="標楷體" w:hint="eastAsia"/>
          <w:sz w:val="28"/>
          <w:szCs w:val="28"/>
        </w:rPr>
        <w:t>3</w:t>
      </w:r>
      <w:r w:rsidRPr="009A602E">
        <w:rPr>
          <w:rFonts w:ascii="標楷體" w:eastAsia="標楷體" w:hAnsi="標楷體" w:hint="eastAsia"/>
          <w:sz w:val="28"/>
          <w:szCs w:val="28"/>
        </w:rPr>
        <w:t>條至第</w:t>
      </w:r>
      <w:r w:rsidR="00D53D22">
        <w:rPr>
          <w:rFonts w:ascii="標楷體" w:eastAsia="標楷體" w:hAnsi="標楷體" w:hint="eastAsia"/>
          <w:sz w:val="28"/>
          <w:szCs w:val="28"/>
        </w:rPr>
        <w:t>10</w:t>
      </w:r>
      <w:r w:rsidRPr="009A602E">
        <w:rPr>
          <w:rFonts w:ascii="標楷體" w:eastAsia="標楷體" w:hAnsi="標楷體" w:hint="eastAsia"/>
          <w:sz w:val="28"/>
          <w:szCs w:val="28"/>
        </w:rPr>
        <w:t>條、第</w:t>
      </w:r>
      <w:r w:rsidR="00D53D22">
        <w:rPr>
          <w:rFonts w:ascii="標楷體" w:eastAsia="標楷體" w:hAnsi="標楷體" w:hint="eastAsia"/>
          <w:sz w:val="28"/>
          <w:szCs w:val="28"/>
        </w:rPr>
        <w:t>11</w:t>
      </w:r>
      <w:r w:rsidRPr="009A602E">
        <w:rPr>
          <w:rFonts w:ascii="標楷體" w:eastAsia="標楷體" w:hAnsi="標楷體" w:hint="eastAsia"/>
          <w:sz w:val="28"/>
          <w:szCs w:val="28"/>
        </w:rPr>
        <w:t>條之</w:t>
      </w:r>
      <w:r w:rsidR="00D53D22">
        <w:rPr>
          <w:rFonts w:ascii="標楷體" w:eastAsia="標楷體" w:hAnsi="標楷體" w:hint="eastAsia"/>
          <w:sz w:val="28"/>
          <w:szCs w:val="28"/>
        </w:rPr>
        <w:t>1</w:t>
      </w:r>
      <w:r w:rsidRPr="009A602E">
        <w:rPr>
          <w:rFonts w:ascii="標楷體" w:eastAsia="標楷體" w:hAnsi="標楷體" w:hint="eastAsia"/>
          <w:sz w:val="28"/>
          <w:szCs w:val="28"/>
        </w:rPr>
        <w:t>、第</w:t>
      </w:r>
      <w:r w:rsidR="00D53D22">
        <w:rPr>
          <w:rFonts w:ascii="標楷體" w:eastAsia="標楷體" w:hAnsi="標楷體" w:hint="eastAsia"/>
          <w:sz w:val="28"/>
          <w:szCs w:val="28"/>
        </w:rPr>
        <w:t>13</w:t>
      </w:r>
      <w:r w:rsidRPr="009A602E">
        <w:rPr>
          <w:rFonts w:ascii="標楷體" w:eastAsia="標楷體" w:hAnsi="標楷體" w:hint="eastAsia"/>
          <w:sz w:val="28"/>
          <w:szCs w:val="28"/>
        </w:rPr>
        <w:t>條至第</w:t>
      </w:r>
      <w:r w:rsidR="00D53D22">
        <w:rPr>
          <w:rFonts w:ascii="標楷體" w:eastAsia="標楷體" w:hAnsi="標楷體" w:hint="eastAsia"/>
          <w:sz w:val="28"/>
          <w:szCs w:val="28"/>
        </w:rPr>
        <w:t>38</w:t>
      </w:r>
      <w:r w:rsidRPr="009A602E">
        <w:rPr>
          <w:rFonts w:ascii="標楷體" w:eastAsia="標楷體" w:hAnsi="標楷體" w:hint="eastAsia"/>
          <w:sz w:val="28"/>
          <w:szCs w:val="28"/>
        </w:rPr>
        <w:t>條)。</w:t>
      </w:r>
    </w:p>
    <w:p w14:paraId="78F5E6B4" w14:textId="060B175A" w:rsidR="00D53D22" w:rsidRPr="00D53D22" w:rsidRDefault="00C07CE5" w:rsidP="00C07CE5">
      <w:pPr>
        <w:pStyle w:val="a7"/>
        <w:tabs>
          <w:tab w:val="left" w:pos="709"/>
        </w:tabs>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二、</w:t>
      </w:r>
      <w:r w:rsidR="00D53D22" w:rsidRPr="00D53D22">
        <w:rPr>
          <w:rFonts w:ascii="標楷體" w:eastAsia="標楷體" w:hAnsi="標楷體" w:hint="eastAsia"/>
          <w:sz w:val="28"/>
          <w:szCs w:val="28"/>
        </w:rPr>
        <w:t>其他規章：</w:t>
      </w:r>
    </w:p>
    <w:p w14:paraId="0CA080C7" w14:textId="3F496F8D" w:rsidR="00D53D22" w:rsidRPr="00D53D22" w:rsidRDefault="00D53D22" w:rsidP="00C07CE5">
      <w:pPr>
        <w:pStyle w:val="a7"/>
        <w:numPr>
          <w:ilvl w:val="0"/>
          <w:numId w:val="20"/>
        </w:numPr>
        <w:spacing w:line="480" w:lineRule="exact"/>
        <w:ind w:leftChars="0" w:left="851" w:hanging="567"/>
        <w:jc w:val="both"/>
        <w:rPr>
          <w:rFonts w:ascii="標楷體" w:eastAsia="標楷體" w:hAnsi="標楷體"/>
          <w:sz w:val="28"/>
          <w:szCs w:val="28"/>
        </w:rPr>
      </w:pPr>
      <w:r w:rsidRPr="00D53D22">
        <w:rPr>
          <w:rFonts w:ascii="標楷體" w:eastAsia="標楷體" w:hAnsi="標楷體" w:hint="eastAsia"/>
          <w:sz w:val="28"/>
          <w:szCs w:val="28"/>
        </w:rPr>
        <w:t>明定戰略新板股票納入共同責任制給付結算基金之適用(證券櫃檯買賣交易市場共同責任制給付結算基金管理辦法第</w:t>
      </w:r>
      <w:r>
        <w:rPr>
          <w:rFonts w:ascii="標楷體" w:eastAsia="標楷體" w:hAnsi="標楷體" w:hint="eastAsia"/>
          <w:sz w:val="28"/>
          <w:szCs w:val="28"/>
        </w:rPr>
        <w:t>3</w:t>
      </w:r>
      <w:r w:rsidRPr="00D53D22">
        <w:rPr>
          <w:rFonts w:ascii="標楷體" w:eastAsia="標楷體" w:hAnsi="標楷體" w:hint="eastAsia"/>
          <w:sz w:val="28"/>
          <w:szCs w:val="28"/>
        </w:rPr>
        <w:t>條)。</w:t>
      </w:r>
    </w:p>
    <w:p w14:paraId="04790FAA" w14:textId="7F493C26" w:rsidR="00D53D22" w:rsidRPr="00D53D22" w:rsidRDefault="00D53D22" w:rsidP="00C07CE5">
      <w:pPr>
        <w:pStyle w:val="a7"/>
        <w:numPr>
          <w:ilvl w:val="0"/>
          <w:numId w:val="20"/>
        </w:numPr>
        <w:spacing w:line="480" w:lineRule="exact"/>
        <w:ind w:leftChars="0" w:left="851" w:hanging="567"/>
        <w:jc w:val="both"/>
        <w:rPr>
          <w:rFonts w:ascii="標楷體" w:eastAsia="標楷體" w:hAnsi="標楷體"/>
          <w:sz w:val="28"/>
          <w:szCs w:val="28"/>
        </w:rPr>
      </w:pPr>
      <w:proofErr w:type="gramStart"/>
      <w:r w:rsidRPr="00D53D22">
        <w:rPr>
          <w:rFonts w:ascii="標楷體" w:eastAsia="標楷體" w:hAnsi="標楷體" w:hint="eastAsia"/>
          <w:sz w:val="28"/>
          <w:szCs w:val="28"/>
        </w:rPr>
        <w:t>配合興櫃</w:t>
      </w:r>
      <w:r w:rsidR="00CD663A">
        <w:rPr>
          <w:rFonts w:ascii="標楷體" w:eastAsia="標楷體" w:hAnsi="標楷體" w:hint="eastAsia"/>
          <w:sz w:val="28"/>
          <w:szCs w:val="28"/>
        </w:rPr>
        <w:t>股票</w:t>
      </w:r>
      <w:r w:rsidRPr="00D53D22">
        <w:rPr>
          <w:rFonts w:ascii="標楷體" w:eastAsia="標楷體" w:hAnsi="標楷體" w:hint="eastAsia"/>
          <w:sz w:val="28"/>
          <w:szCs w:val="28"/>
        </w:rPr>
        <w:t>市場</w:t>
      </w:r>
      <w:proofErr w:type="gramEnd"/>
      <w:r w:rsidRPr="00D53D22">
        <w:rPr>
          <w:rFonts w:ascii="標楷體" w:eastAsia="標楷體" w:hAnsi="標楷體" w:hint="eastAsia"/>
          <w:sz w:val="28"/>
          <w:szCs w:val="28"/>
        </w:rPr>
        <w:t>增設戰略新板股票，一般板股票相關規章名稱及</w:t>
      </w:r>
      <w:proofErr w:type="gramStart"/>
      <w:r w:rsidRPr="00D53D22">
        <w:rPr>
          <w:rFonts w:ascii="標楷體" w:eastAsia="標楷體" w:hAnsi="標楷體" w:hint="eastAsia"/>
          <w:sz w:val="28"/>
          <w:szCs w:val="28"/>
        </w:rPr>
        <w:t>條文酌作文字</w:t>
      </w:r>
      <w:proofErr w:type="gramEnd"/>
      <w:r w:rsidRPr="00D53D22">
        <w:rPr>
          <w:rFonts w:ascii="標楷體" w:eastAsia="標楷體" w:hAnsi="標楷體" w:hint="eastAsia"/>
          <w:sz w:val="28"/>
          <w:szCs w:val="28"/>
        </w:rPr>
        <w:t>調整(</w:t>
      </w:r>
      <w:proofErr w:type="gramStart"/>
      <w:r w:rsidRPr="00D53D22">
        <w:rPr>
          <w:rFonts w:ascii="標楷體" w:eastAsia="標楷體" w:hAnsi="標楷體" w:hint="eastAsia"/>
          <w:sz w:val="28"/>
          <w:szCs w:val="28"/>
        </w:rPr>
        <w:t>興櫃股票</w:t>
      </w:r>
      <w:proofErr w:type="gramEnd"/>
      <w:r w:rsidRPr="00D53D22">
        <w:rPr>
          <w:rFonts w:ascii="標楷體" w:eastAsia="標楷體" w:hAnsi="標楷體" w:hint="eastAsia"/>
          <w:sz w:val="28"/>
          <w:szCs w:val="28"/>
        </w:rPr>
        <w:t>風險預告書（範例）；</w:t>
      </w:r>
      <w:proofErr w:type="gramStart"/>
      <w:r w:rsidRPr="00D53D22">
        <w:rPr>
          <w:rFonts w:ascii="標楷體" w:eastAsia="標楷體" w:hAnsi="標楷體" w:hint="eastAsia"/>
          <w:sz w:val="28"/>
          <w:szCs w:val="28"/>
        </w:rPr>
        <w:t>興櫃股票</w:t>
      </w:r>
      <w:proofErr w:type="gramEnd"/>
      <w:r w:rsidRPr="00D53D22">
        <w:rPr>
          <w:rFonts w:ascii="標楷體" w:eastAsia="標楷體" w:hAnsi="標楷體" w:hint="eastAsia"/>
          <w:sz w:val="28"/>
          <w:szCs w:val="28"/>
        </w:rPr>
        <w:t>推薦證券商內部作業辦法應行記載事項要點第</w:t>
      </w:r>
      <w:r w:rsidR="0043270B">
        <w:rPr>
          <w:rFonts w:ascii="標楷體" w:eastAsia="標楷體" w:hAnsi="標楷體" w:hint="eastAsia"/>
          <w:sz w:val="28"/>
          <w:szCs w:val="28"/>
        </w:rPr>
        <w:t>2</w:t>
      </w:r>
      <w:r w:rsidRPr="00D53D22">
        <w:rPr>
          <w:rFonts w:ascii="標楷體" w:eastAsia="標楷體" w:hAnsi="標楷體" w:hint="eastAsia"/>
          <w:sz w:val="28"/>
          <w:szCs w:val="28"/>
        </w:rPr>
        <w:t>點、第</w:t>
      </w:r>
      <w:r w:rsidR="0043270B">
        <w:rPr>
          <w:rFonts w:ascii="標楷體" w:eastAsia="標楷體" w:hAnsi="標楷體" w:hint="eastAsia"/>
          <w:sz w:val="28"/>
          <w:szCs w:val="28"/>
        </w:rPr>
        <w:t>3</w:t>
      </w:r>
      <w:r w:rsidRPr="00D53D22">
        <w:rPr>
          <w:rFonts w:ascii="標楷體" w:eastAsia="標楷體" w:hAnsi="標楷體" w:hint="eastAsia"/>
          <w:sz w:val="28"/>
          <w:szCs w:val="28"/>
        </w:rPr>
        <w:t>點；</w:t>
      </w:r>
      <w:proofErr w:type="gramStart"/>
      <w:r w:rsidRPr="00D53D22">
        <w:rPr>
          <w:rFonts w:ascii="標楷體" w:eastAsia="標楷體" w:hAnsi="標楷體" w:hint="eastAsia"/>
          <w:sz w:val="28"/>
          <w:szCs w:val="28"/>
        </w:rPr>
        <w:t>興櫃股票</w:t>
      </w:r>
      <w:proofErr w:type="gramEnd"/>
      <w:r w:rsidRPr="00D53D22">
        <w:rPr>
          <w:rFonts w:ascii="標楷體" w:eastAsia="標楷體" w:hAnsi="標楷體" w:hint="eastAsia"/>
          <w:sz w:val="28"/>
          <w:szCs w:val="28"/>
        </w:rPr>
        <w:t>推薦證券商辦理議價買賣業務考核要點第</w:t>
      </w:r>
      <w:r w:rsidR="0043270B">
        <w:rPr>
          <w:rFonts w:ascii="標楷體" w:eastAsia="標楷體" w:hAnsi="標楷體" w:hint="eastAsia"/>
          <w:sz w:val="28"/>
          <w:szCs w:val="28"/>
        </w:rPr>
        <w:t>2</w:t>
      </w:r>
      <w:r w:rsidRPr="00D53D22">
        <w:rPr>
          <w:rFonts w:ascii="標楷體" w:eastAsia="標楷體" w:hAnsi="標楷體" w:hint="eastAsia"/>
          <w:sz w:val="28"/>
          <w:szCs w:val="28"/>
        </w:rPr>
        <w:t>條、第</w:t>
      </w:r>
      <w:r w:rsidR="0043270B">
        <w:rPr>
          <w:rFonts w:ascii="標楷體" w:eastAsia="標楷體" w:hAnsi="標楷體" w:hint="eastAsia"/>
          <w:sz w:val="28"/>
          <w:szCs w:val="28"/>
        </w:rPr>
        <w:t>3</w:t>
      </w:r>
      <w:r w:rsidRPr="00D53D22">
        <w:rPr>
          <w:rFonts w:ascii="標楷體" w:eastAsia="標楷體" w:hAnsi="標楷體" w:hint="eastAsia"/>
          <w:sz w:val="28"/>
          <w:szCs w:val="28"/>
        </w:rPr>
        <w:t>條、第</w:t>
      </w:r>
      <w:r w:rsidR="0043270B">
        <w:rPr>
          <w:rFonts w:ascii="標楷體" w:eastAsia="標楷體" w:hAnsi="標楷體" w:hint="eastAsia"/>
          <w:sz w:val="28"/>
          <w:szCs w:val="28"/>
        </w:rPr>
        <w:t>5</w:t>
      </w:r>
      <w:r w:rsidRPr="00D53D22">
        <w:rPr>
          <w:rFonts w:ascii="標楷體" w:eastAsia="標楷體" w:hAnsi="標楷體" w:hint="eastAsia"/>
          <w:sz w:val="28"/>
          <w:szCs w:val="28"/>
        </w:rPr>
        <w:t>條；綜合交易帳戶作業要點第</w:t>
      </w:r>
      <w:r w:rsidR="0043270B">
        <w:rPr>
          <w:rFonts w:ascii="標楷體" w:eastAsia="標楷體" w:hAnsi="標楷體" w:hint="eastAsia"/>
          <w:sz w:val="28"/>
          <w:szCs w:val="28"/>
        </w:rPr>
        <w:t>4</w:t>
      </w:r>
      <w:r w:rsidRPr="00D53D22">
        <w:rPr>
          <w:rFonts w:ascii="標楷體" w:eastAsia="標楷體" w:hAnsi="標楷體" w:hint="eastAsia"/>
          <w:sz w:val="28"/>
          <w:szCs w:val="28"/>
        </w:rPr>
        <w:t>點；開放式基金受益憑證買賣辦法第</w:t>
      </w:r>
      <w:r w:rsidR="0043270B">
        <w:rPr>
          <w:rFonts w:ascii="標楷體" w:eastAsia="標楷體" w:hAnsi="標楷體" w:hint="eastAsia"/>
          <w:sz w:val="28"/>
          <w:szCs w:val="28"/>
        </w:rPr>
        <w:t>7</w:t>
      </w:r>
      <w:r w:rsidRPr="00D53D22">
        <w:rPr>
          <w:rFonts w:ascii="標楷體" w:eastAsia="標楷體" w:hAnsi="標楷體" w:hint="eastAsia"/>
          <w:sz w:val="28"/>
          <w:szCs w:val="28"/>
        </w:rPr>
        <w:t>條、第</w:t>
      </w:r>
      <w:r w:rsidR="0043270B">
        <w:rPr>
          <w:rFonts w:ascii="標楷體" w:eastAsia="標楷體" w:hAnsi="標楷體" w:hint="eastAsia"/>
          <w:sz w:val="28"/>
          <w:szCs w:val="28"/>
        </w:rPr>
        <w:t>33</w:t>
      </w:r>
      <w:r w:rsidRPr="00D53D22">
        <w:rPr>
          <w:rFonts w:ascii="標楷體" w:eastAsia="標楷體" w:hAnsi="標楷體" w:hint="eastAsia"/>
          <w:sz w:val="28"/>
          <w:szCs w:val="28"/>
        </w:rPr>
        <w:t>條、第</w:t>
      </w:r>
      <w:r w:rsidR="0043270B">
        <w:rPr>
          <w:rFonts w:ascii="標楷體" w:eastAsia="標楷體" w:hAnsi="標楷體" w:hint="eastAsia"/>
          <w:sz w:val="28"/>
          <w:szCs w:val="28"/>
        </w:rPr>
        <w:t>34</w:t>
      </w:r>
      <w:r w:rsidRPr="00D53D22">
        <w:rPr>
          <w:rFonts w:ascii="標楷體" w:eastAsia="標楷體" w:hAnsi="標楷體" w:hint="eastAsia"/>
          <w:sz w:val="28"/>
          <w:szCs w:val="28"/>
        </w:rPr>
        <w:t>條及第</w:t>
      </w:r>
      <w:r w:rsidR="0043270B">
        <w:rPr>
          <w:rFonts w:ascii="標楷體" w:eastAsia="標楷體" w:hAnsi="標楷體" w:hint="eastAsia"/>
          <w:sz w:val="28"/>
          <w:szCs w:val="28"/>
        </w:rPr>
        <w:t>36</w:t>
      </w:r>
      <w:r w:rsidRPr="00D53D22">
        <w:rPr>
          <w:rFonts w:ascii="標楷體" w:eastAsia="標楷體" w:hAnsi="標楷體" w:hint="eastAsia"/>
          <w:sz w:val="28"/>
          <w:szCs w:val="28"/>
        </w:rPr>
        <w:t>條；黃金現貨登錄及買賣辦法第</w:t>
      </w:r>
      <w:r w:rsidR="0043270B">
        <w:rPr>
          <w:rFonts w:ascii="標楷體" w:eastAsia="標楷體" w:hAnsi="標楷體" w:hint="eastAsia"/>
          <w:sz w:val="28"/>
          <w:szCs w:val="28"/>
        </w:rPr>
        <w:t>36</w:t>
      </w:r>
      <w:r w:rsidRPr="00D53D22">
        <w:rPr>
          <w:rFonts w:ascii="標楷體" w:eastAsia="標楷體" w:hAnsi="標楷體" w:hint="eastAsia"/>
          <w:sz w:val="28"/>
          <w:szCs w:val="28"/>
        </w:rPr>
        <w:t>條、第</w:t>
      </w:r>
      <w:r w:rsidR="0043270B">
        <w:rPr>
          <w:rFonts w:ascii="標楷體" w:eastAsia="標楷體" w:hAnsi="標楷體" w:hint="eastAsia"/>
          <w:sz w:val="28"/>
          <w:szCs w:val="28"/>
        </w:rPr>
        <w:t>38</w:t>
      </w:r>
      <w:r w:rsidRPr="00D53D22">
        <w:rPr>
          <w:rFonts w:ascii="標楷體" w:eastAsia="標楷體" w:hAnsi="標楷體" w:hint="eastAsia"/>
          <w:sz w:val="28"/>
          <w:szCs w:val="28"/>
        </w:rPr>
        <w:t>條、第</w:t>
      </w:r>
      <w:r w:rsidR="0043270B">
        <w:rPr>
          <w:rFonts w:ascii="標楷體" w:eastAsia="標楷體" w:hAnsi="標楷體" w:hint="eastAsia"/>
          <w:sz w:val="28"/>
          <w:szCs w:val="28"/>
        </w:rPr>
        <w:t>51</w:t>
      </w:r>
      <w:r w:rsidRPr="00D53D22">
        <w:rPr>
          <w:rFonts w:ascii="標楷體" w:eastAsia="標楷體" w:hAnsi="標楷體" w:hint="eastAsia"/>
          <w:sz w:val="28"/>
          <w:szCs w:val="28"/>
        </w:rPr>
        <w:t>條；證券商櫃檯買賣業務服務費及設備使用費收費標準第</w:t>
      </w:r>
      <w:r w:rsidR="0043270B">
        <w:rPr>
          <w:rFonts w:ascii="標楷體" w:eastAsia="標楷體" w:hAnsi="標楷體" w:hint="eastAsia"/>
          <w:sz w:val="28"/>
          <w:szCs w:val="28"/>
        </w:rPr>
        <w:t>2</w:t>
      </w:r>
      <w:r w:rsidRPr="00D53D22">
        <w:rPr>
          <w:rFonts w:ascii="標楷體" w:eastAsia="標楷體" w:hAnsi="標楷體" w:hint="eastAsia"/>
          <w:sz w:val="28"/>
          <w:szCs w:val="28"/>
        </w:rPr>
        <w:t>點；電腦交易系統與證券交易資訊傳輸系統發生故障或中斷之處理措施第</w:t>
      </w:r>
      <w:r w:rsidR="0043270B">
        <w:rPr>
          <w:rFonts w:ascii="標楷體" w:eastAsia="標楷體" w:hAnsi="標楷體" w:hint="eastAsia"/>
          <w:sz w:val="28"/>
          <w:szCs w:val="28"/>
        </w:rPr>
        <w:t>2</w:t>
      </w:r>
      <w:r w:rsidRPr="00D53D22">
        <w:rPr>
          <w:rFonts w:ascii="標楷體" w:eastAsia="標楷體" w:hAnsi="標楷體" w:hint="eastAsia"/>
          <w:sz w:val="28"/>
          <w:szCs w:val="28"/>
        </w:rPr>
        <w:t>點；天然災害侵襲處理措施第</w:t>
      </w:r>
      <w:r w:rsidR="0043270B">
        <w:rPr>
          <w:rFonts w:ascii="標楷體" w:eastAsia="標楷體" w:hAnsi="標楷體" w:hint="eastAsia"/>
          <w:sz w:val="28"/>
          <w:szCs w:val="28"/>
        </w:rPr>
        <w:t>1</w:t>
      </w:r>
      <w:r w:rsidRPr="00D53D22">
        <w:rPr>
          <w:rFonts w:ascii="標楷體" w:eastAsia="標楷體" w:hAnsi="標楷體" w:hint="eastAsia"/>
          <w:sz w:val="28"/>
          <w:szCs w:val="28"/>
        </w:rPr>
        <w:t>點、第</w:t>
      </w:r>
      <w:r w:rsidR="0043270B">
        <w:rPr>
          <w:rFonts w:ascii="標楷體" w:eastAsia="標楷體" w:hAnsi="標楷體" w:hint="eastAsia"/>
          <w:sz w:val="28"/>
          <w:szCs w:val="28"/>
        </w:rPr>
        <w:t>3</w:t>
      </w:r>
      <w:r w:rsidRPr="00D53D22">
        <w:rPr>
          <w:rFonts w:ascii="標楷體" w:eastAsia="標楷體" w:hAnsi="標楷體" w:hint="eastAsia"/>
          <w:sz w:val="28"/>
          <w:szCs w:val="28"/>
        </w:rPr>
        <w:t>點；選舉投票日應否停止交易之處理措施第</w:t>
      </w:r>
      <w:r w:rsidR="0043270B">
        <w:rPr>
          <w:rFonts w:ascii="標楷體" w:eastAsia="標楷體" w:hAnsi="標楷體" w:hint="eastAsia"/>
          <w:sz w:val="28"/>
          <w:szCs w:val="28"/>
        </w:rPr>
        <w:t>3</w:t>
      </w:r>
      <w:r w:rsidRPr="00D53D22">
        <w:rPr>
          <w:rFonts w:ascii="標楷體" w:eastAsia="標楷體" w:hAnsi="標楷體" w:hint="eastAsia"/>
          <w:sz w:val="28"/>
          <w:szCs w:val="28"/>
        </w:rPr>
        <w:t>點)。</w:t>
      </w:r>
    </w:p>
    <w:p w14:paraId="62B20E56" w14:textId="08A6840D" w:rsidR="000628E5" w:rsidRPr="00CF7C52" w:rsidRDefault="00D53D22" w:rsidP="00C07CE5">
      <w:pPr>
        <w:pStyle w:val="a7"/>
        <w:numPr>
          <w:ilvl w:val="0"/>
          <w:numId w:val="20"/>
        </w:numPr>
        <w:spacing w:line="480" w:lineRule="exact"/>
        <w:ind w:leftChars="0" w:left="851" w:hanging="567"/>
        <w:jc w:val="both"/>
        <w:rPr>
          <w:rFonts w:ascii="標楷體" w:eastAsia="標楷體" w:hAnsi="標楷體"/>
          <w:sz w:val="28"/>
          <w:szCs w:val="28"/>
        </w:rPr>
      </w:pPr>
      <w:r w:rsidRPr="00D53D22">
        <w:rPr>
          <w:rFonts w:ascii="標楷體" w:eastAsia="標楷體" w:hAnsi="標楷體" w:hint="eastAsia"/>
          <w:sz w:val="28"/>
          <w:szCs w:val="28"/>
        </w:rPr>
        <w:t>增訂本</w:t>
      </w:r>
      <w:proofErr w:type="gramStart"/>
      <w:r w:rsidRPr="00D53D22">
        <w:rPr>
          <w:rFonts w:ascii="標楷體" w:eastAsia="標楷體" w:hAnsi="標楷體" w:hint="eastAsia"/>
          <w:sz w:val="28"/>
          <w:szCs w:val="28"/>
        </w:rPr>
        <w:t>中心興櫃戰略</w:t>
      </w:r>
      <w:proofErr w:type="gramEnd"/>
      <w:r w:rsidRPr="00D53D22">
        <w:rPr>
          <w:rFonts w:ascii="標楷體" w:eastAsia="標楷體" w:hAnsi="標楷體" w:hint="eastAsia"/>
          <w:sz w:val="28"/>
          <w:szCs w:val="28"/>
        </w:rPr>
        <w:t>新板股票風險預告書(範例)。</w:t>
      </w:r>
    </w:p>
    <w:sectPr w:rsidR="000628E5" w:rsidRPr="00CF7C52" w:rsidSect="001B0F9F">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76FDA" w14:textId="77777777" w:rsidR="001049CA" w:rsidRDefault="001049CA" w:rsidP="00901D32">
      <w:r>
        <w:separator/>
      </w:r>
    </w:p>
  </w:endnote>
  <w:endnote w:type="continuationSeparator" w:id="0">
    <w:p w14:paraId="67F53614" w14:textId="77777777" w:rsidR="001049CA" w:rsidRDefault="001049CA" w:rsidP="0090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826477"/>
      <w:docPartObj>
        <w:docPartGallery w:val="Page Numbers (Bottom of Page)"/>
        <w:docPartUnique/>
      </w:docPartObj>
    </w:sdtPr>
    <w:sdtEndPr/>
    <w:sdtContent>
      <w:p w14:paraId="60129A3C" w14:textId="445BD512" w:rsidR="00241429" w:rsidRDefault="00241429">
        <w:pPr>
          <w:pStyle w:val="a5"/>
          <w:jc w:val="center"/>
        </w:pPr>
        <w:r>
          <w:fldChar w:fldCharType="begin"/>
        </w:r>
        <w:r>
          <w:instrText>PAGE   \* MERGEFORMAT</w:instrText>
        </w:r>
        <w:r>
          <w:fldChar w:fldCharType="separate"/>
        </w:r>
        <w:r w:rsidR="00743313" w:rsidRPr="00743313">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DEB2D" w14:textId="77777777" w:rsidR="001049CA" w:rsidRDefault="001049CA" w:rsidP="00901D32">
      <w:r>
        <w:separator/>
      </w:r>
    </w:p>
  </w:footnote>
  <w:footnote w:type="continuationSeparator" w:id="0">
    <w:p w14:paraId="728510EF" w14:textId="77777777" w:rsidR="001049CA" w:rsidRDefault="001049CA" w:rsidP="0090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D354" w14:textId="21377016" w:rsidR="00A57940" w:rsidRDefault="00A57940" w:rsidP="00E10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12DB3"/>
    <w:multiLevelType w:val="hybridMultilevel"/>
    <w:tmpl w:val="6F801E98"/>
    <w:lvl w:ilvl="0" w:tplc="014C19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B828F0"/>
    <w:multiLevelType w:val="hybridMultilevel"/>
    <w:tmpl w:val="66288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8E7E8E"/>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719229E"/>
    <w:multiLevelType w:val="hybridMultilevel"/>
    <w:tmpl w:val="B972C380"/>
    <w:lvl w:ilvl="0" w:tplc="D3FC1476">
      <w:start w:val="1"/>
      <w:numFmt w:val="decimal"/>
      <w:lvlText w:val="(%1)"/>
      <w:lvlJc w:val="left"/>
      <w:pPr>
        <w:ind w:left="1380" w:hanging="4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2EB21C6"/>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B551CD"/>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9A18C7"/>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031635C"/>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B07AD2"/>
    <w:multiLevelType w:val="hybridMultilevel"/>
    <w:tmpl w:val="32962332"/>
    <w:lvl w:ilvl="0" w:tplc="014C1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5B95B16"/>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BE6610D"/>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E33787"/>
    <w:multiLevelType w:val="hybridMultilevel"/>
    <w:tmpl w:val="FBB4C2FA"/>
    <w:lvl w:ilvl="0" w:tplc="D3ACFAE6">
      <w:start w:val="1"/>
      <w:numFmt w:val="decimal"/>
      <w:lvlText w:val="%1."/>
      <w:lvlJc w:val="left"/>
      <w:pPr>
        <w:ind w:left="13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2A6802"/>
    <w:multiLevelType w:val="hybridMultilevel"/>
    <w:tmpl w:val="A954A52A"/>
    <w:lvl w:ilvl="0" w:tplc="20B05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AC6AE5"/>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FA270B"/>
    <w:multiLevelType w:val="hybridMultilevel"/>
    <w:tmpl w:val="1B1A26D8"/>
    <w:lvl w:ilvl="0" w:tplc="20B05D66">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14410C"/>
    <w:multiLevelType w:val="hybridMultilevel"/>
    <w:tmpl w:val="66A06C64"/>
    <w:lvl w:ilvl="0" w:tplc="D3FC1476">
      <w:start w:val="1"/>
      <w:numFmt w:val="decimal"/>
      <w:lvlText w:val="(%1)"/>
      <w:lvlJc w:val="left"/>
      <w:pPr>
        <w:ind w:left="1380" w:hanging="4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9B62B0F"/>
    <w:multiLevelType w:val="hybridMultilevel"/>
    <w:tmpl w:val="1B1A26D8"/>
    <w:lvl w:ilvl="0" w:tplc="20B05D66">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4DB592C"/>
    <w:multiLevelType w:val="hybridMultilevel"/>
    <w:tmpl w:val="76D69606"/>
    <w:lvl w:ilvl="0" w:tplc="20B05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176F03"/>
    <w:multiLevelType w:val="hybridMultilevel"/>
    <w:tmpl w:val="1EBC6388"/>
    <w:lvl w:ilvl="0" w:tplc="F006B910">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9" w15:restartNumberingAfterBreak="0">
    <w:nsid w:val="7D76733F"/>
    <w:multiLevelType w:val="hybridMultilevel"/>
    <w:tmpl w:val="22268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
  </w:num>
  <w:num w:numId="3">
    <w:abstractNumId w:val="0"/>
  </w:num>
  <w:num w:numId="4">
    <w:abstractNumId w:val="8"/>
  </w:num>
  <w:num w:numId="5">
    <w:abstractNumId w:val="3"/>
  </w:num>
  <w:num w:numId="6">
    <w:abstractNumId w:val="15"/>
  </w:num>
  <w:num w:numId="7">
    <w:abstractNumId w:val="11"/>
  </w:num>
  <w:num w:numId="8">
    <w:abstractNumId w:val="5"/>
  </w:num>
  <w:num w:numId="9">
    <w:abstractNumId w:val="6"/>
  </w:num>
  <w:num w:numId="10">
    <w:abstractNumId w:val="4"/>
  </w:num>
  <w:num w:numId="11">
    <w:abstractNumId w:val="13"/>
  </w:num>
  <w:num w:numId="12">
    <w:abstractNumId w:val="2"/>
  </w:num>
  <w:num w:numId="13">
    <w:abstractNumId w:val="9"/>
  </w:num>
  <w:num w:numId="14">
    <w:abstractNumId w:val="10"/>
  </w:num>
  <w:num w:numId="15">
    <w:abstractNumId w:val="7"/>
  </w:num>
  <w:num w:numId="16">
    <w:abstractNumId w:val="12"/>
  </w:num>
  <w:num w:numId="17">
    <w:abstractNumId w:val="17"/>
  </w:num>
  <w:num w:numId="18">
    <w:abstractNumId w:val="18"/>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9F"/>
    <w:rsid w:val="00007504"/>
    <w:rsid w:val="00022A95"/>
    <w:rsid w:val="000628E5"/>
    <w:rsid w:val="0007625B"/>
    <w:rsid w:val="00080734"/>
    <w:rsid w:val="000828A7"/>
    <w:rsid w:val="000B3A26"/>
    <w:rsid w:val="000D0C31"/>
    <w:rsid w:val="000E5167"/>
    <w:rsid w:val="000E65B8"/>
    <w:rsid w:val="001049CA"/>
    <w:rsid w:val="0013441B"/>
    <w:rsid w:val="00145C70"/>
    <w:rsid w:val="001A4BE8"/>
    <w:rsid w:val="001B0F9F"/>
    <w:rsid w:val="0020613B"/>
    <w:rsid w:val="00206D4C"/>
    <w:rsid w:val="0022308F"/>
    <w:rsid w:val="00241429"/>
    <w:rsid w:val="002713D7"/>
    <w:rsid w:val="002770EE"/>
    <w:rsid w:val="002B3140"/>
    <w:rsid w:val="002E6890"/>
    <w:rsid w:val="00316397"/>
    <w:rsid w:val="00320F28"/>
    <w:rsid w:val="00321089"/>
    <w:rsid w:val="00333B86"/>
    <w:rsid w:val="00341E05"/>
    <w:rsid w:val="003C482D"/>
    <w:rsid w:val="003D493E"/>
    <w:rsid w:val="003F5057"/>
    <w:rsid w:val="00414975"/>
    <w:rsid w:val="0042573F"/>
    <w:rsid w:val="00431262"/>
    <w:rsid w:val="0043270B"/>
    <w:rsid w:val="00467286"/>
    <w:rsid w:val="00470B8E"/>
    <w:rsid w:val="004B0E60"/>
    <w:rsid w:val="004B3C29"/>
    <w:rsid w:val="004B79AC"/>
    <w:rsid w:val="004D2712"/>
    <w:rsid w:val="0051282C"/>
    <w:rsid w:val="00514FF5"/>
    <w:rsid w:val="00554990"/>
    <w:rsid w:val="005720B9"/>
    <w:rsid w:val="005A5884"/>
    <w:rsid w:val="00642C63"/>
    <w:rsid w:val="006571E1"/>
    <w:rsid w:val="0065752B"/>
    <w:rsid w:val="0067265F"/>
    <w:rsid w:val="006B4880"/>
    <w:rsid w:val="006C25FE"/>
    <w:rsid w:val="00743313"/>
    <w:rsid w:val="007705CB"/>
    <w:rsid w:val="007C4DF7"/>
    <w:rsid w:val="007E57A5"/>
    <w:rsid w:val="0080576F"/>
    <w:rsid w:val="00817A41"/>
    <w:rsid w:val="00835794"/>
    <w:rsid w:val="00851D0F"/>
    <w:rsid w:val="00884A08"/>
    <w:rsid w:val="008A055B"/>
    <w:rsid w:val="008B0021"/>
    <w:rsid w:val="00901D32"/>
    <w:rsid w:val="00923872"/>
    <w:rsid w:val="00932A03"/>
    <w:rsid w:val="00941013"/>
    <w:rsid w:val="009A1FD4"/>
    <w:rsid w:val="009A602E"/>
    <w:rsid w:val="009B20D1"/>
    <w:rsid w:val="00A0076B"/>
    <w:rsid w:val="00A111FA"/>
    <w:rsid w:val="00A1223B"/>
    <w:rsid w:val="00A44847"/>
    <w:rsid w:val="00A57108"/>
    <w:rsid w:val="00A57940"/>
    <w:rsid w:val="00A727F3"/>
    <w:rsid w:val="00A7515F"/>
    <w:rsid w:val="00A80FD4"/>
    <w:rsid w:val="00A95434"/>
    <w:rsid w:val="00B35DEE"/>
    <w:rsid w:val="00B46271"/>
    <w:rsid w:val="00B6603D"/>
    <w:rsid w:val="00B8302D"/>
    <w:rsid w:val="00B942E8"/>
    <w:rsid w:val="00BA17D3"/>
    <w:rsid w:val="00BB245C"/>
    <w:rsid w:val="00BB2B29"/>
    <w:rsid w:val="00BB5167"/>
    <w:rsid w:val="00BD5D92"/>
    <w:rsid w:val="00C06313"/>
    <w:rsid w:val="00C07CE5"/>
    <w:rsid w:val="00C26811"/>
    <w:rsid w:val="00C279A0"/>
    <w:rsid w:val="00CD4102"/>
    <w:rsid w:val="00CD663A"/>
    <w:rsid w:val="00CF205C"/>
    <w:rsid w:val="00CF2975"/>
    <w:rsid w:val="00CF771D"/>
    <w:rsid w:val="00CF7C52"/>
    <w:rsid w:val="00D12A78"/>
    <w:rsid w:val="00D410CB"/>
    <w:rsid w:val="00D53D22"/>
    <w:rsid w:val="00D55940"/>
    <w:rsid w:val="00D7217B"/>
    <w:rsid w:val="00D74D0B"/>
    <w:rsid w:val="00D96227"/>
    <w:rsid w:val="00DE34A3"/>
    <w:rsid w:val="00E10488"/>
    <w:rsid w:val="00E2252F"/>
    <w:rsid w:val="00E230BB"/>
    <w:rsid w:val="00E334A3"/>
    <w:rsid w:val="00E35B65"/>
    <w:rsid w:val="00EC5A79"/>
    <w:rsid w:val="00EF4048"/>
    <w:rsid w:val="00F072EB"/>
    <w:rsid w:val="00FE5972"/>
    <w:rsid w:val="00FE7681"/>
    <w:rsid w:val="00FF6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67B49"/>
  <w15:docId w15:val="{EA420DF9-4DE8-466B-AA60-A5F2EC7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F9F"/>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D32"/>
    <w:pPr>
      <w:tabs>
        <w:tab w:val="center" w:pos="4153"/>
        <w:tab w:val="right" w:pos="8306"/>
      </w:tabs>
      <w:snapToGrid w:val="0"/>
    </w:pPr>
    <w:rPr>
      <w:sz w:val="20"/>
      <w:szCs w:val="20"/>
    </w:rPr>
  </w:style>
  <w:style w:type="character" w:customStyle="1" w:styleId="a4">
    <w:name w:val="頁首 字元"/>
    <w:basedOn w:val="a0"/>
    <w:link w:val="a3"/>
    <w:uiPriority w:val="99"/>
    <w:rsid w:val="00901D32"/>
    <w:rPr>
      <w:rFonts w:ascii="Times New Roman" w:eastAsia="新細明體" w:hAnsi="Times New Roman" w:cs="Times New Roman"/>
      <w:kern w:val="0"/>
      <w:sz w:val="20"/>
      <w:szCs w:val="20"/>
    </w:rPr>
  </w:style>
  <w:style w:type="paragraph" w:styleId="a5">
    <w:name w:val="footer"/>
    <w:basedOn w:val="a"/>
    <w:link w:val="a6"/>
    <w:uiPriority w:val="99"/>
    <w:unhideWhenUsed/>
    <w:rsid w:val="00901D32"/>
    <w:pPr>
      <w:tabs>
        <w:tab w:val="center" w:pos="4153"/>
        <w:tab w:val="right" w:pos="8306"/>
      </w:tabs>
      <w:snapToGrid w:val="0"/>
    </w:pPr>
    <w:rPr>
      <w:sz w:val="20"/>
      <w:szCs w:val="20"/>
    </w:rPr>
  </w:style>
  <w:style w:type="character" w:customStyle="1" w:styleId="a6">
    <w:name w:val="頁尾 字元"/>
    <w:basedOn w:val="a0"/>
    <w:link w:val="a5"/>
    <w:uiPriority w:val="99"/>
    <w:rsid w:val="00901D32"/>
    <w:rPr>
      <w:rFonts w:ascii="Times New Roman" w:eastAsia="新細明體" w:hAnsi="Times New Roman" w:cs="Times New Roman"/>
      <w:kern w:val="0"/>
      <w:sz w:val="20"/>
      <w:szCs w:val="20"/>
    </w:rPr>
  </w:style>
  <w:style w:type="paragraph" w:styleId="a7">
    <w:name w:val="List Paragraph"/>
    <w:basedOn w:val="a"/>
    <w:uiPriority w:val="34"/>
    <w:qFormat/>
    <w:rsid w:val="00A571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10CF-5043-4C01-AEC8-AC2F7EB1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李姵萱</dc:creator>
  <cp:lastModifiedBy>柯馥甄</cp:lastModifiedBy>
  <cp:revision>2</cp:revision>
  <cp:lastPrinted>2021-02-26T10:35:00Z</cp:lastPrinted>
  <dcterms:created xsi:type="dcterms:W3CDTF">2021-03-30T11:19:00Z</dcterms:created>
  <dcterms:modified xsi:type="dcterms:W3CDTF">2021-03-30T11:19:00Z</dcterms:modified>
</cp:coreProperties>
</file>