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A22A" w14:textId="77777777" w:rsidR="006253BF" w:rsidRPr="00D5245D" w:rsidRDefault="006253BF" w:rsidP="006253BF">
      <w:pPr>
        <w:ind w:firstLineChars="0" w:firstLine="0"/>
        <w:jc w:val="center"/>
        <w:rPr>
          <w:rFonts w:ascii="標楷體" w:eastAsia="標楷體" w:hAnsi="標楷體" w:hint="eastAsia"/>
          <w:bCs/>
          <w:kern w:val="52"/>
          <w:sz w:val="36"/>
          <w:szCs w:val="32"/>
          <w:lang w:val="x-none"/>
        </w:rPr>
      </w:pPr>
      <w:bookmarkStart w:id="0" w:name="_Toc58456131"/>
      <w:bookmarkStart w:id="1" w:name="_Hlk57187016"/>
      <w:bookmarkStart w:id="2" w:name="_Hlk65251335"/>
      <w:r w:rsidRPr="00D5245D">
        <w:rPr>
          <w:rFonts w:ascii="標楷體" w:eastAsia="標楷體" w:hAnsi="標楷體"/>
          <w:bCs/>
          <w:kern w:val="52"/>
          <w:sz w:val="36"/>
          <w:szCs w:val="32"/>
          <w:lang w:val="x-none"/>
        </w:rPr>
        <w:t>財團法人中華民國證券櫃檯買賣中心</w:t>
      </w:r>
    </w:p>
    <w:p w14:paraId="6CF3E039" w14:textId="77777777" w:rsidR="006253BF" w:rsidRPr="00D5245D" w:rsidRDefault="006253BF" w:rsidP="006253BF">
      <w:pPr>
        <w:keepNext/>
        <w:ind w:left="720" w:hangingChars="200" w:hanging="720"/>
        <w:jc w:val="center"/>
        <w:outlineLvl w:val="0"/>
        <w:rPr>
          <w:rFonts w:ascii="標楷體" w:eastAsia="標楷體" w:hAnsi="標楷體" w:hint="eastAsia"/>
          <w:bCs/>
          <w:kern w:val="52"/>
          <w:sz w:val="36"/>
          <w:szCs w:val="32"/>
          <w:lang w:val="x-none"/>
        </w:rPr>
      </w:pPr>
      <w:bookmarkStart w:id="3" w:name="_Toc65578326"/>
      <w:proofErr w:type="gramStart"/>
      <w:r w:rsidRPr="00D5245D">
        <w:rPr>
          <w:rFonts w:ascii="標楷體" w:eastAsia="標楷體" w:hAnsi="標楷體"/>
          <w:bCs/>
          <w:kern w:val="52"/>
          <w:sz w:val="36"/>
          <w:szCs w:val="32"/>
          <w:lang w:val="x-none"/>
        </w:rPr>
        <w:t>興櫃股票</w:t>
      </w:r>
      <w:proofErr w:type="gramEnd"/>
      <w:r w:rsidRPr="00D5245D">
        <w:rPr>
          <w:rFonts w:ascii="標楷體" w:eastAsia="標楷體" w:hAnsi="標楷體"/>
          <w:bCs/>
          <w:kern w:val="52"/>
          <w:sz w:val="36"/>
          <w:szCs w:val="32"/>
          <w:lang w:val="x-none"/>
        </w:rPr>
        <w:t>推薦證券商內部作業辦法應行記載事項要點</w:t>
      </w:r>
      <w:bookmarkEnd w:id="3"/>
    </w:p>
    <w:p w14:paraId="62EDE909" w14:textId="77777777" w:rsidR="006253BF" w:rsidRPr="00596AE5" w:rsidRDefault="006253BF" w:rsidP="006253BF">
      <w:pPr>
        <w:spacing w:afterLines="50" w:after="180"/>
        <w:ind w:firstLineChars="0" w:firstLine="0"/>
        <w:jc w:val="center"/>
        <w:rPr>
          <w:rFonts w:ascii="標楷體" w:eastAsia="標楷體" w:hAnsi="標楷體" w:cs="Calibri Light"/>
          <w:bCs/>
          <w:sz w:val="36"/>
          <w:szCs w:val="32"/>
        </w:rPr>
      </w:pPr>
      <w:r w:rsidRPr="00596AE5">
        <w:rPr>
          <w:rFonts w:ascii="標楷體" w:eastAsia="標楷體" w:hAnsi="標楷體" w:cs="Calibri Light" w:hint="eastAsia"/>
          <w:bCs/>
          <w:sz w:val="36"/>
          <w:szCs w:val="32"/>
        </w:rPr>
        <w:t>第二點、</w:t>
      </w:r>
      <w:r w:rsidRPr="00596AE5">
        <w:rPr>
          <w:rFonts w:ascii="標楷體" w:eastAsia="標楷體" w:hAnsi="標楷體" w:cs="Calibri Light"/>
          <w:bCs/>
          <w:sz w:val="36"/>
          <w:szCs w:val="32"/>
        </w:rPr>
        <w:t>第三點修正條文對照表</w:t>
      </w:r>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2923"/>
      </w:tblGrid>
      <w:tr w:rsidR="006253BF" w:rsidRPr="00D5245D" w14:paraId="28986E1A" w14:textId="77777777" w:rsidTr="006253BF">
        <w:trPr>
          <w:tblHeader/>
        </w:trPr>
        <w:tc>
          <w:tcPr>
            <w:tcW w:w="3285" w:type="dxa"/>
            <w:shd w:val="clear" w:color="auto" w:fill="auto"/>
          </w:tcPr>
          <w:bookmarkEnd w:id="1"/>
          <w:p w14:paraId="5C11E1B3" w14:textId="77777777" w:rsidR="006253BF" w:rsidRPr="00D5245D" w:rsidRDefault="006253BF" w:rsidP="00EB62A6">
            <w:pPr>
              <w:spacing w:line="240" w:lineRule="auto"/>
              <w:ind w:firstLineChars="0" w:firstLine="0"/>
              <w:jc w:val="center"/>
              <w:rPr>
                <w:rFonts w:ascii="Times New Roman" w:eastAsia="標楷體" w:hAnsi="Times New Roman"/>
              </w:rPr>
            </w:pPr>
            <w:r w:rsidRPr="00D5245D">
              <w:rPr>
                <w:rFonts w:ascii="Cambria Math" w:eastAsia="標楷體" w:hAnsi="標楷體" w:cs="Calibri Light" w:hint="eastAsia"/>
                <w:bCs/>
              </w:rPr>
              <w:t>修正名稱</w:t>
            </w:r>
          </w:p>
        </w:tc>
        <w:tc>
          <w:tcPr>
            <w:tcW w:w="3285" w:type="dxa"/>
            <w:shd w:val="clear" w:color="auto" w:fill="auto"/>
          </w:tcPr>
          <w:p w14:paraId="350C6B4A" w14:textId="77777777" w:rsidR="006253BF" w:rsidRPr="00D5245D" w:rsidRDefault="006253BF" w:rsidP="00EB62A6">
            <w:pPr>
              <w:spacing w:line="240" w:lineRule="auto"/>
              <w:ind w:firstLineChars="0" w:firstLine="0"/>
              <w:jc w:val="center"/>
              <w:rPr>
                <w:rFonts w:ascii="Times New Roman" w:eastAsia="標楷體" w:hAnsi="Times New Roman"/>
              </w:rPr>
            </w:pPr>
            <w:r w:rsidRPr="00D5245D">
              <w:rPr>
                <w:rFonts w:ascii="Cambria Math" w:eastAsia="標楷體" w:hAnsi="標楷體" w:cs="Calibri Light" w:hint="eastAsia"/>
                <w:bCs/>
              </w:rPr>
              <w:t>現行名稱</w:t>
            </w:r>
          </w:p>
        </w:tc>
        <w:tc>
          <w:tcPr>
            <w:tcW w:w="2923" w:type="dxa"/>
            <w:shd w:val="clear" w:color="auto" w:fill="auto"/>
          </w:tcPr>
          <w:p w14:paraId="387CD8DD" w14:textId="77777777" w:rsidR="006253BF" w:rsidRPr="00D5245D" w:rsidRDefault="006253BF" w:rsidP="00EB62A6">
            <w:pPr>
              <w:spacing w:line="240" w:lineRule="auto"/>
              <w:ind w:firstLineChars="0" w:firstLine="0"/>
              <w:jc w:val="center"/>
              <w:rPr>
                <w:rFonts w:ascii="Times New Roman" w:eastAsia="標楷體" w:hAnsi="Times New Roman"/>
              </w:rPr>
            </w:pPr>
            <w:r w:rsidRPr="00D5245D">
              <w:rPr>
                <w:rFonts w:ascii="Cambria Math" w:eastAsia="標楷體" w:hAnsi="標楷體" w:cs="Calibri Light" w:hint="eastAsia"/>
                <w:bCs/>
              </w:rPr>
              <w:t>說明</w:t>
            </w:r>
          </w:p>
        </w:tc>
      </w:tr>
      <w:tr w:rsidR="006253BF" w:rsidRPr="00D5245D" w14:paraId="7AF3C199" w14:textId="77777777" w:rsidTr="006253BF">
        <w:tc>
          <w:tcPr>
            <w:tcW w:w="3285" w:type="dxa"/>
            <w:shd w:val="clear" w:color="auto" w:fill="auto"/>
          </w:tcPr>
          <w:p w14:paraId="7AC4B0C9"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szCs w:val="24"/>
              </w:rPr>
            </w:pPr>
            <w:r w:rsidRPr="00D5245D">
              <w:rPr>
                <w:rFonts w:ascii="Times New Roman" w:eastAsia="標楷體" w:hAnsi="Times New Roman"/>
              </w:rPr>
              <w:t>財團法人中華民國證券櫃檯買賣</w:t>
            </w:r>
            <w:proofErr w:type="gramStart"/>
            <w:r w:rsidRPr="00D5245D">
              <w:rPr>
                <w:rFonts w:ascii="Times New Roman" w:eastAsia="標楷體" w:hAnsi="Times New Roman"/>
              </w:rPr>
              <w:t>中心興櫃</w:t>
            </w:r>
            <w:r w:rsidRPr="00D5245D">
              <w:rPr>
                <w:rFonts w:ascii="Times New Roman" w:eastAsia="標楷體" w:hAnsi="Times New Roman" w:hint="eastAsia"/>
                <w:color w:val="FF0000"/>
                <w:u w:val="single"/>
              </w:rPr>
              <w:t>一般</w:t>
            </w:r>
            <w:proofErr w:type="gramEnd"/>
            <w:r w:rsidRPr="00D5245D">
              <w:rPr>
                <w:rFonts w:ascii="Times New Roman" w:eastAsia="標楷體" w:hAnsi="Times New Roman" w:hint="eastAsia"/>
                <w:color w:val="FF0000"/>
                <w:u w:val="single"/>
              </w:rPr>
              <w:t>板</w:t>
            </w:r>
            <w:r w:rsidRPr="00D5245D">
              <w:rPr>
                <w:rFonts w:ascii="Times New Roman" w:eastAsia="標楷體" w:hAnsi="Times New Roman"/>
              </w:rPr>
              <w:t>股票推薦證券商內部作業辦法應行記載事項要點</w:t>
            </w:r>
          </w:p>
        </w:tc>
        <w:tc>
          <w:tcPr>
            <w:tcW w:w="3285" w:type="dxa"/>
            <w:shd w:val="clear" w:color="auto" w:fill="auto"/>
          </w:tcPr>
          <w:p w14:paraId="66BF0AF3"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FF0000"/>
                <w:szCs w:val="24"/>
              </w:rPr>
            </w:pPr>
            <w:r w:rsidRPr="00D5245D">
              <w:rPr>
                <w:rFonts w:ascii="Times New Roman" w:eastAsia="標楷體" w:hAnsi="Times New Roman"/>
              </w:rPr>
              <w:t>財團法人中華民國證券櫃檯買賣</w:t>
            </w:r>
            <w:proofErr w:type="gramStart"/>
            <w:r w:rsidRPr="00D5245D">
              <w:rPr>
                <w:rFonts w:ascii="Times New Roman" w:eastAsia="標楷體" w:hAnsi="Times New Roman"/>
              </w:rPr>
              <w:t>中心興櫃股票</w:t>
            </w:r>
            <w:proofErr w:type="gramEnd"/>
            <w:r w:rsidRPr="00D5245D">
              <w:rPr>
                <w:rFonts w:ascii="Times New Roman" w:eastAsia="標楷體" w:hAnsi="Times New Roman"/>
              </w:rPr>
              <w:t>推薦證券商內部作業辦法應行記載事項要點</w:t>
            </w:r>
          </w:p>
        </w:tc>
        <w:tc>
          <w:tcPr>
            <w:tcW w:w="2923" w:type="dxa"/>
            <w:shd w:val="clear" w:color="auto" w:fill="auto"/>
          </w:tcPr>
          <w:p w14:paraId="4A13F6E6" w14:textId="77777777" w:rsidR="006253BF" w:rsidRPr="00D5245D" w:rsidRDefault="006253BF" w:rsidP="00EB62A6">
            <w:pPr>
              <w:widowControl/>
              <w:tabs>
                <w:tab w:val="left" w:pos="2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szCs w:val="24"/>
              </w:rPr>
            </w:pPr>
            <w:proofErr w:type="gramStart"/>
            <w:r w:rsidRPr="00D5245D">
              <w:rPr>
                <w:rFonts w:ascii="Times New Roman" w:eastAsia="標楷體" w:hAnsi="Times New Roman" w:hint="eastAsia"/>
                <w:szCs w:val="24"/>
              </w:rPr>
              <w:t>興櫃股票</w:t>
            </w:r>
            <w:proofErr w:type="gramEnd"/>
            <w:r w:rsidRPr="00D5245D">
              <w:rPr>
                <w:rFonts w:ascii="Times New Roman" w:eastAsia="標楷體" w:hAnsi="Times New Roman" w:hint="eastAsia"/>
                <w:szCs w:val="24"/>
              </w:rPr>
              <w:t>區分為戰略新板及一般板，本要點僅限一般板之推薦證券商適用，</w:t>
            </w:r>
            <w:proofErr w:type="gramStart"/>
            <w:r w:rsidRPr="00D5245D">
              <w:rPr>
                <w:rFonts w:ascii="Times New Roman" w:eastAsia="標楷體" w:hAnsi="Times New Roman" w:hint="eastAsia"/>
                <w:szCs w:val="24"/>
              </w:rPr>
              <w:t>爰</w:t>
            </w:r>
            <w:proofErr w:type="gramEnd"/>
            <w:r w:rsidRPr="00D5245D">
              <w:rPr>
                <w:rFonts w:ascii="Times New Roman" w:eastAsia="標楷體" w:hAnsi="Times New Roman" w:hint="eastAsia"/>
                <w:szCs w:val="24"/>
              </w:rPr>
              <w:t>修正本要點名稱，以資明確。</w:t>
            </w:r>
          </w:p>
        </w:tc>
      </w:tr>
    </w:tbl>
    <w:p w14:paraId="745707EF" w14:textId="77777777" w:rsidR="006253BF" w:rsidRPr="00D5245D" w:rsidRDefault="006253BF" w:rsidP="006253BF">
      <w:pPr>
        <w:spacing w:line="240" w:lineRule="auto"/>
        <w:ind w:firstLineChars="0" w:firstLine="0"/>
        <w:rPr>
          <w:rFonts w:ascii="Cambria Math" w:eastAsia="華康仿宋體W4" w:hAnsi="Cambria Math" w:cs="Calibri Ligh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2923"/>
      </w:tblGrid>
      <w:tr w:rsidR="006253BF" w:rsidRPr="00D5245D" w14:paraId="2C0DBDDE" w14:textId="77777777" w:rsidTr="006253BF">
        <w:trPr>
          <w:tblHeader/>
        </w:trPr>
        <w:tc>
          <w:tcPr>
            <w:tcW w:w="3285" w:type="dxa"/>
            <w:shd w:val="clear" w:color="auto" w:fill="auto"/>
          </w:tcPr>
          <w:p w14:paraId="49D857AE" w14:textId="77777777" w:rsidR="006253BF" w:rsidRPr="00D5245D" w:rsidRDefault="006253BF"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修正條文</w:t>
            </w:r>
          </w:p>
        </w:tc>
        <w:tc>
          <w:tcPr>
            <w:tcW w:w="3285" w:type="dxa"/>
            <w:shd w:val="clear" w:color="auto" w:fill="auto"/>
          </w:tcPr>
          <w:p w14:paraId="0BA891CB" w14:textId="77777777" w:rsidR="006253BF" w:rsidRPr="00D5245D" w:rsidRDefault="006253BF"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現行條文</w:t>
            </w:r>
          </w:p>
        </w:tc>
        <w:tc>
          <w:tcPr>
            <w:tcW w:w="2923" w:type="dxa"/>
            <w:shd w:val="clear" w:color="auto" w:fill="auto"/>
          </w:tcPr>
          <w:p w14:paraId="5CEDDB95" w14:textId="77777777" w:rsidR="006253BF" w:rsidRPr="00D5245D" w:rsidRDefault="006253BF"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說明</w:t>
            </w:r>
          </w:p>
        </w:tc>
      </w:tr>
      <w:tr w:rsidR="006253BF" w:rsidRPr="00D5245D" w14:paraId="491D7598" w14:textId="77777777" w:rsidTr="006253BF">
        <w:tc>
          <w:tcPr>
            <w:tcW w:w="3285" w:type="dxa"/>
            <w:shd w:val="clear" w:color="auto" w:fill="auto"/>
          </w:tcPr>
          <w:p w14:paraId="2639C637" w14:textId="77777777" w:rsidR="006253BF" w:rsidRPr="00D5245D" w:rsidRDefault="006253BF" w:rsidP="00EB62A6">
            <w:pPr>
              <w:spacing w:afterLines="50" w:after="180" w:line="360" w:lineRule="exact"/>
              <w:ind w:left="480" w:hangingChars="200" w:hanging="480"/>
              <w:jc w:val="both"/>
              <w:rPr>
                <w:rFonts w:ascii="Times New Roman" w:eastAsia="標楷體" w:hAnsi="Times New Roman"/>
                <w:szCs w:val="24"/>
              </w:rPr>
            </w:pPr>
            <w:r w:rsidRPr="00D5245D">
              <w:rPr>
                <w:rFonts w:ascii="Times New Roman" w:eastAsia="標楷體" w:hAnsi="Times New Roman" w:hint="eastAsia"/>
                <w:szCs w:val="24"/>
              </w:rPr>
              <w:t>二、</w:t>
            </w:r>
            <w:proofErr w:type="gramStart"/>
            <w:r w:rsidRPr="00D5245D">
              <w:rPr>
                <w:rFonts w:ascii="Times New Roman" w:eastAsia="標楷體" w:hAnsi="Times New Roman" w:hint="eastAsia"/>
                <w:szCs w:val="24"/>
              </w:rPr>
              <w:t>興櫃</w:t>
            </w:r>
            <w:r w:rsidRPr="00D5245D">
              <w:rPr>
                <w:rFonts w:ascii="Times New Roman" w:eastAsia="標楷體" w:hAnsi="Times New Roman" w:hint="eastAsia"/>
                <w:color w:val="FF0000"/>
                <w:szCs w:val="24"/>
                <w:u w:val="single"/>
              </w:rPr>
              <w:t>一般</w:t>
            </w:r>
            <w:proofErr w:type="gramEnd"/>
            <w:r w:rsidRPr="00D5245D">
              <w:rPr>
                <w:rFonts w:ascii="Times New Roman" w:eastAsia="標楷體" w:hAnsi="Times New Roman" w:hint="eastAsia"/>
                <w:color w:val="FF0000"/>
                <w:szCs w:val="24"/>
                <w:u w:val="single"/>
              </w:rPr>
              <w:t>板</w:t>
            </w:r>
            <w:r w:rsidRPr="00D5245D">
              <w:rPr>
                <w:rFonts w:ascii="Times New Roman" w:eastAsia="標楷體" w:hAnsi="Times New Roman" w:hint="eastAsia"/>
                <w:color w:val="FF0000"/>
                <w:szCs w:val="24"/>
                <w:u w:val="single"/>
              </w:rPr>
              <w:t>(</w:t>
            </w:r>
            <w:r w:rsidRPr="00D5245D">
              <w:rPr>
                <w:rFonts w:ascii="Times New Roman" w:eastAsia="標楷體" w:hAnsi="Times New Roman" w:hint="eastAsia"/>
                <w:color w:val="FF0000"/>
                <w:szCs w:val="24"/>
                <w:u w:val="single"/>
              </w:rPr>
              <w:t>以下簡稱一般板</w:t>
            </w:r>
            <w:r w:rsidRPr="00D5245D">
              <w:rPr>
                <w:rFonts w:ascii="Times New Roman" w:eastAsia="標楷體" w:hAnsi="Times New Roman" w:hint="eastAsia"/>
                <w:color w:val="FF0000"/>
                <w:szCs w:val="24"/>
                <w:u w:val="single"/>
              </w:rPr>
              <w:t>)</w:t>
            </w:r>
            <w:r w:rsidRPr="00D5245D">
              <w:rPr>
                <w:rFonts w:ascii="Times New Roman" w:eastAsia="標楷體" w:hAnsi="Times New Roman" w:hint="eastAsia"/>
                <w:szCs w:val="24"/>
              </w:rPr>
              <w:t>股票之推薦證券商於議價買賣</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股票前，應訂定</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股票議價買賣內部作業辦法，作為執行</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股票議價買賣作業之依循。</w:t>
            </w:r>
          </w:p>
        </w:tc>
        <w:tc>
          <w:tcPr>
            <w:tcW w:w="3285" w:type="dxa"/>
            <w:shd w:val="clear" w:color="auto" w:fill="auto"/>
          </w:tcPr>
          <w:p w14:paraId="1175FA49" w14:textId="77777777" w:rsidR="006253BF" w:rsidRPr="00D5245D" w:rsidRDefault="006253BF" w:rsidP="00EB62A6">
            <w:pPr>
              <w:spacing w:afterLines="50" w:after="180" w:line="360" w:lineRule="exact"/>
              <w:ind w:left="480" w:hangingChars="200" w:hanging="480"/>
              <w:jc w:val="both"/>
              <w:rPr>
                <w:rFonts w:ascii="Times New Roman" w:eastAsia="標楷體" w:hAnsi="Times New Roman"/>
                <w:szCs w:val="24"/>
              </w:rPr>
            </w:pPr>
            <w:r w:rsidRPr="00D5245D">
              <w:rPr>
                <w:rFonts w:ascii="Times New Roman" w:eastAsia="標楷體" w:hAnsi="Times New Roman" w:hint="eastAsia"/>
                <w:szCs w:val="24"/>
              </w:rPr>
              <w:t>二、</w:t>
            </w:r>
            <w:proofErr w:type="gramStart"/>
            <w:r w:rsidRPr="00D5245D">
              <w:rPr>
                <w:rFonts w:ascii="Times New Roman" w:eastAsia="標楷體" w:hAnsi="Times New Roman" w:hint="eastAsia"/>
                <w:szCs w:val="24"/>
              </w:rPr>
              <w:t>興櫃股票</w:t>
            </w:r>
            <w:proofErr w:type="gramEnd"/>
            <w:r w:rsidRPr="00D5245D">
              <w:rPr>
                <w:rFonts w:ascii="Times New Roman" w:eastAsia="標楷體" w:hAnsi="Times New Roman" w:hint="eastAsia"/>
                <w:szCs w:val="24"/>
              </w:rPr>
              <w:t>之推薦證券商於議價</w:t>
            </w:r>
            <w:proofErr w:type="gramStart"/>
            <w:r w:rsidRPr="00D5245D">
              <w:rPr>
                <w:rFonts w:ascii="Times New Roman" w:eastAsia="標楷體" w:hAnsi="Times New Roman" w:hint="eastAsia"/>
                <w:szCs w:val="24"/>
              </w:rPr>
              <w:t>買賣</w:t>
            </w:r>
            <w:r w:rsidRPr="00D5245D">
              <w:rPr>
                <w:rFonts w:ascii="Times New Roman" w:eastAsia="標楷體" w:hAnsi="Times New Roman" w:hint="eastAsia"/>
                <w:color w:val="FF0000"/>
                <w:szCs w:val="24"/>
                <w:u w:val="single"/>
              </w:rPr>
              <w:t>興櫃</w:t>
            </w:r>
            <w:r w:rsidRPr="00D5245D">
              <w:rPr>
                <w:rFonts w:ascii="Times New Roman" w:eastAsia="標楷體" w:hAnsi="Times New Roman" w:hint="eastAsia"/>
                <w:szCs w:val="24"/>
              </w:rPr>
              <w:t>股票</w:t>
            </w:r>
            <w:proofErr w:type="gramEnd"/>
            <w:r w:rsidRPr="00D5245D">
              <w:rPr>
                <w:rFonts w:ascii="Times New Roman" w:eastAsia="標楷體" w:hAnsi="Times New Roman" w:hint="eastAsia"/>
                <w:szCs w:val="24"/>
              </w:rPr>
              <w:t>前，應訂</w:t>
            </w:r>
            <w:proofErr w:type="gramStart"/>
            <w:r w:rsidRPr="00D5245D">
              <w:rPr>
                <w:rFonts w:ascii="Times New Roman" w:eastAsia="標楷體" w:hAnsi="Times New Roman" w:hint="eastAsia"/>
                <w:szCs w:val="24"/>
              </w:rPr>
              <w:t>定</w:t>
            </w:r>
            <w:r w:rsidRPr="00D5245D">
              <w:rPr>
                <w:rFonts w:ascii="Times New Roman" w:eastAsia="標楷體" w:hAnsi="Times New Roman" w:hint="eastAsia"/>
                <w:color w:val="FF0000"/>
                <w:szCs w:val="24"/>
                <w:u w:val="single"/>
              </w:rPr>
              <w:t>興櫃</w:t>
            </w:r>
            <w:proofErr w:type="gramEnd"/>
            <w:r w:rsidRPr="00D5245D">
              <w:rPr>
                <w:rFonts w:ascii="Times New Roman" w:eastAsia="標楷體" w:hAnsi="Times New Roman" w:hint="eastAsia"/>
                <w:szCs w:val="24"/>
              </w:rPr>
              <w:t>股票議價買賣內部作業辦法，作為</w:t>
            </w:r>
            <w:proofErr w:type="gramStart"/>
            <w:r w:rsidRPr="00D5245D">
              <w:rPr>
                <w:rFonts w:ascii="Times New Roman" w:eastAsia="標楷體" w:hAnsi="Times New Roman" w:hint="eastAsia"/>
                <w:szCs w:val="24"/>
              </w:rPr>
              <w:t>執行</w:t>
            </w:r>
            <w:r w:rsidRPr="00D5245D">
              <w:rPr>
                <w:rFonts w:ascii="Times New Roman" w:eastAsia="標楷體" w:hAnsi="Times New Roman" w:hint="eastAsia"/>
                <w:color w:val="FF0000"/>
                <w:szCs w:val="24"/>
                <w:u w:val="single"/>
              </w:rPr>
              <w:t>興櫃</w:t>
            </w:r>
            <w:r w:rsidRPr="00D5245D">
              <w:rPr>
                <w:rFonts w:ascii="Times New Roman" w:eastAsia="標楷體" w:hAnsi="Times New Roman" w:hint="eastAsia"/>
                <w:szCs w:val="24"/>
              </w:rPr>
              <w:t>股票</w:t>
            </w:r>
            <w:proofErr w:type="gramEnd"/>
            <w:r w:rsidRPr="00D5245D">
              <w:rPr>
                <w:rFonts w:ascii="Times New Roman" w:eastAsia="標楷體" w:hAnsi="Times New Roman" w:hint="eastAsia"/>
                <w:szCs w:val="24"/>
              </w:rPr>
              <w:t>議價買賣作業之依循。</w:t>
            </w:r>
          </w:p>
        </w:tc>
        <w:tc>
          <w:tcPr>
            <w:tcW w:w="2923" w:type="dxa"/>
            <w:shd w:val="clear" w:color="auto" w:fill="auto"/>
          </w:tcPr>
          <w:p w14:paraId="760F6EE0" w14:textId="77777777" w:rsidR="006253BF" w:rsidRPr="00D5245D" w:rsidRDefault="006253BF" w:rsidP="00EB62A6">
            <w:pPr>
              <w:widowControl/>
              <w:tabs>
                <w:tab w:val="left" w:pos="2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szCs w:val="24"/>
                <w:highlight w:val="green"/>
              </w:rPr>
            </w:pPr>
            <w:proofErr w:type="gramStart"/>
            <w:r w:rsidRPr="00D5245D">
              <w:rPr>
                <w:rFonts w:ascii="Times New Roman" w:eastAsia="標楷體" w:hAnsi="Times New Roman" w:hint="eastAsia"/>
                <w:szCs w:val="24"/>
              </w:rPr>
              <w:t>酌作文字</w:t>
            </w:r>
            <w:proofErr w:type="gramEnd"/>
            <w:r w:rsidRPr="00D5245D">
              <w:rPr>
                <w:rFonts w:ascii="Times New Roman" w:eastAsia="標楷體" w:hAnsi="Times New Roman" w:hint="eastAsia"/>
                <w:szCs w:val="24"/>
              </w:rPr>
              <w:t>修正，以資明確。</w:t>
            </w:r>
          </w:p>
        </w:tc>
      </w:tr>
      <w:tr w:rsidR="006253BF" w:rsidRPr="00D5245D" w14:paraId="5D67FA12" w14:textId="77777777" w:rsidTr="006253BF">
        <w:tc>
          <w:tcPr>
            <w:tcW w:w="3285" w:type="dxa"/>
            <w:shd w:val="clear" w:color="auto" w:fill="auto"/>
          </w:tcPr>
          <w:p w14:paraId="0A35298E" w14:textId="77777777" w:rsidR="006253BF" w:rsidRPr="00D5245D" w:rsidRDefault="006253BF" w:rsidP="00EB62A6">
            <w:pPr>
              <w:spacing w:afterLines="50" w:after="180" w:line="360" w:lineRule="exact"/>
              <w:ind w:left="480" w:hangingChars="200" w:hanging="480"/>
              <w:jc w:val="both"/>
              <w:rPr>
                <w:rFonts w:ascii="Times New Roman" w:eastAsia="標楷體" w:hAnsi="Times New Roman"/>
                <w:szCs w:val="24"/>
              </w:rPr>
            </w:pPr>
            <w:r w:rsidRPr="00D5245D">
              <w:rPr>
                <w:rFonts w:ascii="Times New Roman" w:eastAsia="標楷體" w:hAnsi="Times New Roman"/>
                <w:szCs w:val="24"/>
              </w:rPr>
              <w:t>三、推薦證券商訂定之</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szCs w:val="24"/>
              </w:rPr>
              <w:t>股票議價買賣內部作業辦法，至少應記載之內容如下：</w:t>
            </w:r>
          </w:p>
          <w:p w14:paraId="3487DE31" w14:textId="77777777" w:rsidR="006253BF" w:rsidRPr="00D5245D" w:rsidRDefault="006253BF"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40" w:lineRule="auto"/>
              <w:ind w:firstLineChars="0" w:firstLine="0"/>
              <w:jc w:val="center"/>
              <w:rPr>
                <w:rFonts w:ascii="Times New Roman" w:eastAsia="標楷體" w:hAnsi="Times New Roman"/>
                <w:kern w:val="0"/>
                <w:szCs w:val="24"/>
              </w:rPr>
            </w:pPr>
            <w:r w:rsidRPr="00D5245D">
              <w:rPr>
                <w:rFonts w:ascii="Times New Roman" w:eastAsia="標楷體" w:hAnsi="Times New Roman"/>
                <w:kern w:val="0"/>
                <w:szCs w:val="24"/>
              </w:rPr>
              <w:t>(</w:t>
            </w:r>
            <w:r w:rsidRPr="00D5245D">
              <w:rPr>
                <w:rFonts w:ascii="Times New Roman" w:eastAsia="標楷體" w:hAnsi="Times New Roman"/>
                <w:kern w:val="0"/>
                <w:szCs w:val="24"/>
              </w:rPr>
              <w:t>第</w:t>
            </w:r>
            <w:r w:rsidRPr="00D5245D">
              <w:rPr>
                <w:rFonts w:ascii="Times New Roman" w:eastAsia="標楷體" w:hAnsi="Times New Roman" w:hint="eastAsia"/>
                <w:kern w:val="0"/>
                <w:szCs w:val="24"/>
              </w:rPr>
              <w:t>一</w:t>
            </w:r>
            <w:r w:rsidRPr="00D5245D">
              <w:rPr>
                <w:rFonts w:ascii="Times New Roman" w:eastAsia="標楷體" w:hAnsi="Times New Roman"/>
                <w:kern w:val="0"/>
                <w:szCs w:val="24"/>
              </w:rPr>
              <w:t>款及第</w:t>
            </w:r>
            <w:proofErr w:type="gramStart"/>
            <w:r w:rsidRPr="00D5245D">
              <w:rPr>
                <w:rFonts w:ascii="Times New Roman" w:eastAsia="標楷體" w:hAnsi="Times New Roman" w:hint="eastAsia"/>
                <w:kern w:val="0"/>
                <w:szCs w:val="24"/>
              </w:rPr>
              <w:t>二</w:t>
            </w:r>
            <w:r w:rsidRPr="00D5245D">
              <w:rPr>
                <w:rFonts w:ascii="Times New Roman" w:eastAsia="標楷體" w:hAnsi="Times New Roman"/>
                <w:kern w:val="0"/>
                <w:szCs w:val="24"/>
              </w:rPr>
              <w:t>款</w:t>
            </w:r>
            <w:r w:rsidRPr="00D5245D">
              <w:rPr>
                <w:rFonts w:ascii="Times New Roman" w:eastAsia="標楷體" w:hAnsi="Times New Roman" w:hint="eastAsia"/>
                <w:kern w:val="0"/>
                <w:szCs w:val="24"/>
              </w:rPr>
              <w:t>第</w:t>
            </w:r>
            <w:r w:rsidRPr="00D5245D">
              <w:rPr>
                <w:rFonts w:ascii="Times New Roman" w:eastAsia="標楷體" w:hAnsi="Times New Roman"/>
                <w:kern w:val="0"/>
                <w:szCs w:val="24"/>
              </w:rPr>
              <w:t>未修正</w:t>
            </w:r>
            <w:proofErr w:type="gramEnd"/>
            <w:r w:rsidRPr="00D5245D">
              <w:rPr>
                <w:rFonts w:ascii="Times New Roman" w:eastAsia="標楷體" w:hAnsi="Times New Roman"/>
                <w:kern w:val="0"/>
                <w:szCs w:val="24"/>
              </w:rPr>
              <w:t>，略</w:t>
            </w:r>
            <w:r w:rsidRPr="00D5245D">
              <w:rPr>
                <w:rFonts w:ascii="Times New Roman" w:eastAsia="標楷體" w:hAnsi="Times New Roman"/>
                <w:kern w:val="0"/>
                <w:szCs w:val="24"/>
              </w:rPr>
              <w:t>)</w:t>
            </w:r>
          </w:p>
          <w:p w14:paraId="5B63BAB7" w14:textId="77777777" w:rsidR="006253BF" w:rsidRPr="00D5245D" w:rsidRDefault="006253BF"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r w:rsidRPr="00D5245D">
              <w:rPr>
                <w:rFonts w:ascii="Times New Roman" w:eastAsia="標楷體" w:hAnsi="Times New Roman"/>
                <w:kern w:val="0"/>
                <w:szCs w:val="24"/>
              </w:rPr>
              <w:t xml:space="preserve">   (</w:t>
            </w:r>
            <w:r w:rsidRPr="00D5245D">
              <w:rPr>
                <w:rFonts w:ascii="Times New Roman" w:eastAsia="標楷體" w:hAnsi="Times New Roman"/>
                <w:kern w:val="0"/>
                <w:szCs w:val="24"/>
              </w:rPr>
              <w:t>三</w:t>
            </w:r>
            <w:r w:rsidRPr="00D5245D">
              <w:rPr>
                <w:rFonts w:ascii="Times New Roman" w:eastAsia="標楷體" w:hAnsi="Times New Roman"/>
                <w:kern w:val="0"/>
                <w:szCs w:val="24"/>
              </w:rPr>
              <w:t xml:space="preserve">) </w:t>
            </w:r>
            <w:r w:rsidRPr="00D5245D">
              <w:rPr>
                <w:rFonts w:ascii="Times New Roman" w:eastAsia="標楷體" w:hAnsi="Times New Roman"/>
                <w:kern w:val="0"/>
                <w:szCs w:val="24"/>
              </w:rPr>
              <w:t>報價決定依據：</w:t>
            </w:r>
          </w:p>
          <w:p w14:paraId="1BFEF22C"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1.</w:t>
            </w:r>
            <w:r w:rsidRPr="00D5245D">
              <w:rPr>
                <w:rFonts w:ascii="Times New Roman" w:eastAsia="標楷體" w:hAnsi="Times New Roman" w:hint="eastAsia"/>
                <w:kern w:val="0"/>
                <w:szCs w:val="24"/>
              </w:rPr>
              <w:t>報價核決權限及相關人員。</w:t>
            </w:r>
          </w:p>
          <w:p w14:paraId="1E9D46D9"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2.</w:t>
            </w:r>
            <w:r w:rsidRPr="00D5245D">
              <w:rPr>
                <w:rFonts w:ascii="Times New Roman" w:eastAsia="標楷體" w:hAnsi="Times New Roman" w:hint="eastAsia"/>
                <w:kern w:val="0"/>
                <w:szCs w:val="24"/>
              </w:rPr>
              <w:t>合理庫存部位決定方式。</w:t>
            </w:r>
          </w:p>
          <w:p w14:paraId="12B3A38A"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3.</w:t>
            </w:r>
            <w:r w:rsidRPr="00D5245D">
              <w:rPr>
                <w:rFonts w:ascii="Times New Roman" w:eastAsia="標楷體" w:hAnsi="Times New Roman" w:hint="eastAsia"/>
                <w:kern w:val="0"/>
                <w:szCs w:val="24"/>
              </w:rPr>
              <w:t>每一營業日對所推薦之</w:t>
            </w:r>
            <w:r w:rsidRPr="00D5245D">
              <w:rPr>
                <w:rFonts w:ascii="Times New Roman" w:eastAsia="標楷體" w:hAnsi="Times New Roman" w:hint="eastAsia"/>
                <w:color w:val="FF0000"/>
                <w:kern w:val="0"/>
                <w:szCs w:val="24"/>
                <w:u w:val="single"/>
              </w:rPr>
              <w:t>一般板</w:t>
            </w:r>
            <w:r w:rsidRPr="00D5245D">
              <w:rPr>
                <w:rFonts w:ascii="Times New Roman" w:eastAsia="標楷體" w:hAnsi="Times New Roman" w:hint="eastAsia"/>
                <w:kern w:val="0"/>
                <w:szCs w:val="24"/>
              </w:rPr>
              <w:t>股票，其第一筆報價價格決定依據及當日後續報價價格決定依據：</w:t>
            </w:r>
          </w:p>
          <w:p w14:paraId="10959B29"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kern w:val="0"/>
                <w:szCs w:val="24"/>
              </w:rPr>
            </w:pPr>
            <w:r w:rsidRPr="00D5245D">
              <w:rPr>
                <w:rFonts w:ascii="Times New Roman" w:eastAsia="標楷體" w:hAnsi="Times New Roman" w:hint="eastAsia"/>
                <w:kern w:val="0"/>
                <w:szCs w:val="24"/>
              </w:rPr>
              <w:t>(1)</w:t>
            </w:r>
            <w:r w:rsidRPr="00D5245D">
              <w:rPr>
                <w:rFonts w:ascii="Times New Roman" w:eastAsia="標楷體" w:hAnsi="Times New Roman" w:hint="eastAsia"/>
                <w:kern w:val="0"/>
                <w:szCs w:val="24"/>
              </w:rPr>
              <w:t>交易市場委託買賣狀況。</w:t>
            </w:r>
          </w:p>
          <w:p w14:paraId="566E25F2"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kern w:val="0"/>
                <w:szCs w:val="24"/>
              </w:rPr>
            </w:pPr>
            <w:r w:rsidRPr="00D5245D">
              <w:rPr>
                <w:rFonts w:ascii="Times New Roman" w:eastAsia="標楷體" w:hAnsi="Times New Roman" w:hint="eastAsia"/>
                <w:kern w:val="0"/>
                <w:szCs w:val="24"/>
              </w:rPr>
              <w:lastRenderedPageBreak/>
              <w:t>(2)</w:t>
            </w:r>
            <w:r w:rsidRPr="00D5245D">
              <w:rPr>
                <w:rFonts w:ascii="Times New Roman" w:eastAsia="標楷體" w:hAnsi="Times New Roman" w:hint="eastAsia"/>
                <w:kern w:val="0"/>
                <w:szCs w:val="24"/>
              </w:rPr>
              <w:t>每一營業日第一筆報價與前一營業日</w:t>
            </w:r>
            <w:proofErr w:type="gramStart"/>
            <w:r w:rsidRPr="00D5245D">
              <w:rPr>
                <w:rFonts w:ascii="Times New Roman" w:eastAsia="標楷體" w:hAnsi="Times New Roman" w:hint="eastAsia"/>
                <w:kern w:val="0"/>
                <w:szCs w:val="24"/>
              </w:rPr>
              <w:t>成交均價及</w:t>
            </w:r>
            <w:proofErr w:type="gramEnd"/>
            <w:r w:rsidRPr="00D5245D">
              <w:rPr>
                <w:rFonts w:ascii="Times New Roman" w:eastAsia="標楷體" w:hAnsi="Times New Roman" w:hint="eastAsia"/>
                <w:kern w:val="0"/>
                <w:szCs w:val="24"/>
              </w:rPr>
              <w:t>本身最後一筆報價之關聯性。</w:t>
            </w:r>
            <w:r w:rsidRPr="00D5245D">
              <w:rPr>
                <w:rFonts w:ascii="Times New Roman" w:eastAsia="標楷體" w:hAnsi="Times New Roman" w:hint="eastAsia"/>
                <w:kern w:val="0"/>
                <w:szCs w:val="24"/>
              </w:rPr>
              <w:t xml:space="preserve"> </w:t>
            </w:r>
          </w:p>
          <w:p w14:paraId="5AB29BA4"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kern w:val="0"/>
                <w:szCs w:val="24"/>
              </w:rPr>
            </w:pPr>
            <w:r w:rsidRPr="00D5245D">
              <w:rPr>
                <w:rFonts w:ascii="Times New Roman" w:eastAsia="標楷體" w:hAnsi="Times New Roman" w:hint="eastAsia"/>
                <w:kern w:val="0"/>
                <w:szCs w:val="24"/>
              </w:rPr>
              <w:t>(3)</w:t>
            </w:r>
            <w:r w:rsidRPr="00D5245D">
              <w:rPr>
                <w:rFonts w:ascii="Times New Roman" w:eastAsia="標楷體" w:hAnsi="Times New Roman" w:hint="eastAsia"/>
                <w:kern w:val="0"/>
                <w:szCs w:val="24"/>
              </w:rPr>
              <w:t>所參考之</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kern w:val="0"/>
                <w:szCs w:val="24"/>
              </w:rPr>
              <w:t>公司財務業務面指標。</w:t>
            </w:r>
            <w:r w:rsidRPr="00D5245D">
              <w:rPr>
                <w:rFonts w:ascii="Times New Roman" w:eastAsia="標楷體" w:hAnsi="Times New Roman" w:hint="eastAsia"/>
                <w:kern w:val="0"/>
                <w:szCs w:val="24"/>
              </w:rPr>
              <w:t xml:space="preserve"> </w:t>
            </w:r>
          </w:p>
          <w:p w14:paraId="1109BD8B"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(4)</w:t>
            </w:r>
            <w:r w:rsidRPr="00D5245D">
              <w:rPr>
                <w:rFonts w:ascii="Times New Roman" w:eastAsia="標楷體" w:hAnsi="Times New Roman" w:hint="eastAsia"/>
                <w:kern w:val="0"/>
                <w:szCs w:val="24"/>
              </w:rPr>
              <w:t>所參考之總體經濟指標及產業前景資料。</w:t>
            </w:r>
          </w:p>
          <w:p w14:paraId="3DB9449A"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kern w:val="0"/>
                <w:szCs w:val="24"/>
              </w:rPr>
            </w:pPr>
            <w:r w:rsidRPr="00D5245D">
              <w:rPr>
                <w:rFonts w:ascii="Times New Roman" w:eastAsia="標楷體" w:hAnsi="Times New Roman" w:hint="eastAsia"/>
                <w:kern w:val="0"/>
                <w:szCs w:val="24"/>
              </w:rPr>
              <w:t>(5)</w:t>
            </w:r>
            <w:r w:rsidRPr="00D5245D">
              <w:rPr>
                <w:rFonts w:ascii="Times New Roman" w:eastAsia="標楷體" w:hAnsi="Times New Roman" w:hint="eastAsia"/>
                <w:kern w:val="0"/>
                <w:szCs w:val="24"/>
              </w:rPr>
              <w:t>其他考量因素。</w:t>
            </w:r>
          </w:p>
          <w:p w14:paraId="0789B040"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55" w:left="1092" w:hangingChars="100" w:hanging="240"/>
              <w:jc w:val="both"/>
              <w:rPr>
                <w:rFonts w:ascii="Times New Roman" w:eastAsia="標楷體" w:hAnsi="Times New Roman"/>
                <w:strike/>
                <w:color w:val="FF0000"/>
                <w:kern w:val="0"/>
                <w:szCs w:val="24"/>
                <w:u w:val="single"/>
              </w:rPr>
            </w:pPr>
            <w:r w:rsidRPr="00D5245D">
              <w:rPr>
                <w:rFonts w:ascii="Times New Roman" w:eastAsia="標楷體" w:hAnsi="Times New Roman"/>
                <w:kern w:val="0"/>
                <w:szCs w:val="24"/>
              </w:rPr>
              <w:t>4.</w:t>
            </w:r>
            <w:r w:rsidRPr="00D5245D">
              <w:rPr>
                <w:rFonts w:ascii="Times New Roman" w:eastAsia="標楷體" w:hAnsi="Times New Roman"/>
                <w:kern w:val="0"/>
                <w:szCs w:val="24"/>
              </w:rPr>
              <w:t>對於開始櫃檯買賣首日之</w:t>
            </w:r>
            <w:r w:rsidRPr="00D5245D">
              <w:rPr>
                <w:rFonts w:ascii="Times New Roman" w:eastAsia="標楷體" w:hAnsi="Times New Roman" w:hint="eastAsia"/>
                <w:color w:val="FF0000"/>
                <w:kern w:val="0"/>
                <w:szCs w:val="24"/>
                <w:u w:val="single"/>
              </w:rPr>
              <w:t>一般板</w:t>
            </w:r>
            <w:r w:rsidRPr="00D5245D">
              <w:rPr>
                <w:rFonts w:ascii="Times New Roman" w:eastAsia="標楷體" w:hAnsi="Times New Roman"/>
                <w:kern w:val="0"/>
                <w:szCs w:val="24"/>
              </w:rPr>
              <w:t>股票，除須記載第</w:t>
            </w:r>
            <w:r w:rsidRPr="00D5245D">
              <w:rPr>
                <w:rFonts w:ascii="Times New Roman" w:eastAsia="標楷體" w:hAnsi="Times New Roman"/>
                <w:kern w:val="0"/>
                <w:szCs w:val="24"/>
              </w:rPr>
              <w:t xml:space="preserve"> 3</w:t>
            </w:r>
            <w:proofErr w:type="gramStart"/>
            <w:r w:rsidRPr="00D5245D">
              <w:rPr>
                <w:rFonts w:ascii="Times New Roman" w:eastAsia="標楷體" w:hAnsi="Times New Roman"/>
                <w:kern w:val="0"/>
                <w:szCs w:val="24"/>
              </w:rPr>
              <w:t>目各點外</w:t>
            </w:r>
            <w:proofErr w:type="gramEnd"/>
            <w:r w:rsidRPr="00D5245D">
              <w:rPr>
                <w:rFonts w:ascii="Times New Roman" w:eastAsia="標楷體" w:hAnsi="Times New Roman"/>
                <w:kern w:val="0"/>
                <w:szCs w:val="24"/>
              </w:rPr>
              <w:t>，另須記載</w:t>
            </w:r>
            <w:r w:rsidRPr="00D5245D">
              <w:rPr>
                <w:rFonts w:ascii="Times New Roman" w:eastAsia="標楷體" w:hAnsi="Times New Roman" w:hint="eastAsia"/>
                <w:color w:val="FF0000"/>
                <w:kern w:val="0"/>
                <w:szCs w:val="24"/>
                <w:u w:val="single"/>
              </w:rPr>
              <w:t>一般板</w:t>
            </w:r>
            <w:r w:rsidRPr="00D5245D">
              <w:rPr>
                <w:rFonts w:ascii="Times New Roman" w:eastAsia="標楷體" w:hAnsi="Times New Roman"/>
                <w:kern w:val="0"/>
                <w:szCs w:val="24"/>
              </w:rPr>
              <w:t>股票櫃檯買賣首日第一筆報價價格決定依據</w:t>
            </w:r>
            <w:r w:rsidRPr="00D5245D">
              <w:rPr>
                <w:rFonts w:ascii="Times New Roman" w:eastAsia="標楷體" w:hAnsi="Times New Roman" w:hint="eastAsia"/>
                <w:kern w:val="0"/>
                <w:szCs w:val="24"/>
              </w:rPr>
              <w:t>及</w:t>
            </w:r>
            <w:r w:rsidRPr="00D5245D">
              <w:rPr>
                <w:rFonts w:ascii="Times New Roman" w:eastAsia="標楷體" w:hAnsi="Times New Roman"/>
                <w:kern w:val="0"/>
                <w:szCs w:val="24"/>
              </w:rPr>
              <w:t>與認購價格之關聯性</w:t>
            </w:r>
            <w:r w:rsidRPr="00D5245D">
              <w:rPr>
                <w:rFonts w:ascii="Times New Roman" w:eastAsia="標楷體" w:hAnsi="Times New Roman" w:hint="eastAsia"/>
                <w:kern w:val="0"/>
                <w:szCs w:val="24"/>
              </w:rPr>
              <w:t>。</w:t>
            </w:r>
          </w:p>
          <w:p w14:paraId="483B34BB"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55" w:left="1092" w:hangingChars="100" w:hanging="240"/>
              <w:jc w:val="both"/>
              <w:rPr>
                <w:rFonts w:ascii="Times New Roman" w:eastAsia="標楷體" w:hAnsi="Times New Roman"/>
                <w:color w:val="FF0000"/>
                <w:kern w:val="0"/>
                <w:szCs w:val="24"/>
                <w:u w:val="single"/>
              </w:rPr>
            </w:pPr>
            <w:r w:rsidRPr="00D5245D">
              <w:rPr>
                <w:rFonts w:ascii="Times New Roman" w:eastAsia="標楷體" w:hAnsi="Times New Roman" w:hint="eastAsia"/>
                <w:color w:val="FF0000"/>
                <w:kern w:val="0"/>
                <w:szCs w:val="24"/>
                <w:u w:val="single"/>
              </w:rPr>
              <w:t>5.</w:t>
            </w:r>
            <w:r w:rsidRPr="00D5245D">
              <w:rPr>
                <w:rFonts w:ascii="Times New Roman" w:eastAsia="標楷體" w:hAnsi="Times New Roman" w:hint="eastAsia"/>
                <w:color w:val="FF0000"/>
                <w:kern w:val="0"/>
                <w:szCs w:val="24"/>
                <w:u w:val="single"/>
              </w:rPr>
              <w:t>對於由戰略新板</w:t>
            </w:r>
            <w:r w:rsidRPr="002E07C0">
              <w:rPr>
                <w:rFonts w:ascii="Times New Roman" w:eastAsia="標楷體" w:hAnsi="Times New Roman" w:hint="eastAsia"/>
                <w:color w:val="FF0000"/>
                <w:kern w:val="0"/>
                <w:szCs w:val="24"/>
                <w:u w:val="single"/>
              </w:rPr>
              <w:t>或臺灣證券交易所股份有限公司</w:t>
            </w:r>
            <w:r w:rsidRPr="009860E5">
              <w:rPr>
                <w:rFonts w:ascii="Times New Roman" w:eastAsia="標楷體" w:hAnsi="Times New Roman" w:hint="eastAsia"/>
                <w:color w:val="FF0000"/>
                <w:szCs w:val="24"/>
                <w:u w:val="single"/>
              </w:rPr>
              <w:t>臺灣</w:t>
            </w:r>
            <w:r w:rsidRPr="002E07C0">
              <w:rPr>
                <w:rFonts w:ascii="Times New Roman" w:eastAsia="標楷體" w:hAnsi="Times New Roman" w:hint="eastAsia"/>
                <w:color w:val="FF0000"/>
                <w:kern w:val="0"/>
                <w:szCs w:val="24"/>
                <w:u w:val="single"/>
              </w:rPr>
              <w:t>創新板</w:t>
            </w:r>
            <w:r w:rsidRPr="002E07C0">
              <w:rPr>
                <w:rFonts w:ascii="Times New Roman" w:eastAsia="標楷體" w:hAnsi="Times New Roman" w:hint="eastAsia"/>
                <w:color w:val="FF0000"/>
                <w:kern w:val="0"/>
                <w:szCs w:val="24"/>
                <w:u w:val="single"/>
              </w:rPr>
              <w:t>(</w:t>
            </w:r>
            <w:r w:rsidRPr="002E07C0">
              <w:rPr>
                <w:rFonts w:ascii="Times New Roman" w:eastAsia="標楷體" w:hAnsi="Times New Roman" w:hint="eastAsia"/>
                <w:color w:val="FF0000"/>
                <w:kern w:val="0"/>
                <w:szCs w:val="24"/>
                <w:u w:val="single"/>
              </w:rPr>
              <w:t>以下簡稱創新板</w:t>
            </w:r>
            <w:r w:rsidRPr="002E07C0">
              <w:rPr>
                <w:rFonts w:ascii="Times New Roman" w:eastAsia="標楷體" w:hAnsi="Times New Roman" w:hint="eastAsia"/>
                <w:color w:val="FF0000"/>
                <w:kern w:val="0"/>
                <w:szCs w:val="24"/>
                <w:u w:val="single"/>
              </w:rPr>
              <w:t>)</w:t>
            </w:r>
            <w:r w:rsidRPr="002E07C0">
              <w:rPr>
                <w:rFonts w:ascii="Times New Roman" w:eastAsia="標楷體" w:hAnsi="Times New Roman" w:hint="eastAsia"/>
                <w:color w:val="FF0000"/>
                <w:kern w:val="0"/>
                <w:szCs w:val="24"/>
                <w:u w:val="single"/>
              </w:rPr>
              <w:t>轉至</w:t>
            </w:r>
            <w:proofErr w:type="gramStart"/>
            <w:r w:rsidRPr="002E07C0">
              <w:rPr>
                <w:rFonts w:ascii="Times New Roman" w:eastAsia="標楷體" w:hAnsi="Times New Roman" w:hint="eastAsia"/>
                <w:color w:val="FF0000"/>
                <w:kern w:val="0"/>
                <w:szCs w:val="24"/>
                <w:u w:val="single"/>
              </w:rPr>
              <w:t>一般板者</w:t>
            </w:r>
            <w:proofErr w:type="gramEnd"/>
            <w:r w:rsidRPr="002E07C0">
              <w:rPr>
                <w:rFonts w:ascii="Times New Roman" w:eastAsia="標楷體" w:hAnsi="Times New Roman" w:hint="eastAsia"/>
                <w:color w:val="FF0000"/>
                <w:kern w:val="0"/>
                <w:szCs w:val="24"/>
                <w:u w:val="single"/>
              </w:rPr>
              <w:t>，另須記載櫃檯買賣首日第一筆報價與戰略新板或創新板</w:t>
            </w:r>
            <w:r w:rsidRPr="00D5245D">
              <w:rPr>
                <w:rFonts w:ascii="Times New Roman" w:eastAsia="標楷體" w:hAnsi="Times New Roman" w:hint="eastAsia"/>
                <w:color w:val="FF0000"/>
                <w:kern w:val="0"/>
                <w:szCs w:val="24"/>
                <w:u w:val="single"/>
              </w:rPr>
              <w:t>交易價格之關聯性，但不須</w:t>
            </w:r>
            <w:proofErr w:type="gramStart"/>
            <w:r w:rsidRPr="00D5245D">
              <w:rPr>
                <w:rFonts w:ascii="Times New Roman" w:eastAsia="標楷體" w:hAnsi="Times New Roman" w:hint="eastAsia"/>
                <w:color w:val="FF0000"/>
                <w:kern w:val="0"/>
                <w:szCs w:val="24"/>
                <w:u w:val="single"/>
              </w:rPr>
              <w:t>依前目記載</w:t>
            </w:r>
            <w:proofErr w:type="gramEnd"/>
            <w:r w:rsidRPr="00D5245D">
              <w:rPr>
                <w:rFonts w:ascii="Times New Roman" w:eastAsia="標楷體" w:hAnsi="Times New Roman" w:hint="eastAsia"/>
                <w:color w:val="FF0000"/>
                <w:kern w:val="0"/>
                <w:szCs w:val="24"/>
                <w:u w:val="single"/>
              </w:rPr>
              <w:t>與認購價之關聯性。</w:t>
            </w:r>
          </w:p>
          <w:p w14:paraId="2262CD97"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szCs w:val="24"/>
              </w:rPr>
            </w:pPr>
            <w:r w:rsidRPr="00D5245D">
              <w:rPr>
                <w:rFonts w:ascii="Times New Roman" w:eastAsia="標楷體" w:hAnsi="Times New Roman" w:hint="eastAsia"/>
                <w:color w:val="FF0000"/>
                <w:szCs w:val="24"/>
                <w:u w:val="single"/>
              </w:rPr>
              <w:t>6</w:t>
            </w:r>
            <w:r w:rsidRPr="00D5245D">
              <w:rPr>
                <w:rFonts w:ascii="Times New Roman" w:eastAsia="標楷體" w:hAnsi="Times New Roman" w:hint="eastAsia"/>
                <w:szCs w:val="24"/>
              </w:rPr>
              <w:t>.</w:t>
            </w:r>
            <w:r w:rsidRPr="00D5245D">
              <w:rPr>
                <w:rFonts w:ascii="Times New Roman" w:eastAsia="標楷體" w:hAnsi="Times New Roman" w:hint="eastAsia"/>
                <w:szCs w:val="24"/>
              </w:rPr>
              <w:t>報價調整比例上限及報價調整超過上限時之核決層級及處理程序（應留存書面紀錄備查）。</w:t>
            </w:r>
          </w:p>
          <w:p w14:paraId="4375E3A9"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szCs w:val="24"/>
              </w:rPr>
            </w:pPr>
            <w:r w:rsidRPr="00D5245D">
              <w:rPr>
                <w:rFonts w:ascii="Times New Roman" w:eastAsia="標楷體" w:hAnsi="Times New Roman" w:hint="eastAsia"/>
                <w:color w:val="FF0000"/>
                <w:szCs w:val="24"/>
                <w:u w:val="single"/>
              </w:rPr>
              <w:lastRenderedPageBreak/>
              <w:t>7</w:t>
            </w:r>
            <w:r w:rsidRPr="00D5245D">
              <w:rPr>
                <w:rFonts w:ascii="Times New Roman" w:eastAsia="標楷體" w:hAnsi="Times New Roman" w:hint="eastAsia"/>
                <w:color w:val="FF0000"/>
                <w:szCs w:val="24"/>
              </w:rPr>
              <w:t>.</w:t>
            </w:r>
            <w:r w:rsidRPr="00D5245D">
              <w:rPr>
                <w:rFonts w:ascii="Times New Roman" w:eastAsia="標楷體" w:hAnsi="Times New Roman" w:hint="eastAsia"/>
                <w:szCs w:val="24"/>
              </w:rPr>
              <w:t>報價與該股票之上櫃或上市承銷價差距百分之三十以上時，應</w:t>
            </w:r>
            <w:r w:rsidRPr="00D5245D">
              <w:rPr>
                <w:rFonts w:ascii="Times New Roman" w:eastAsia="標楷體" w:hAnsi="Times New Roman" w:hint="eastAsia"/>
                <w:szCs w:val="24"/>
              </w:rPr>
              <w:t xml:space="preserve">          </w:t>
            </w:r>
            <w:r w:rsidRPr="00D5245D">
              <w:rPr>
                <w:rFonts w:ascii="Times New Roman" w:eastAsia="標楷體" w:hAnsi="Times New Roman" w:hint="eastAsia"/>
                <w:szCs w:val="24"/>
              </w:rPr>
              <w:t>於當日收市後評估其報價之合理性及因應措施，出具書面報告陳報總經理核定後留存備查，嗣後任一營業日前揭報價差距又達百分之三十以上時，得由總經理視個案具體情況授權副總經理或相關業務之最高主管核定，並留存備查。</w:t>
            </w:r>
          </w:p>
          <w:p w14:paraId="1CABA104"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firstLineChars="0" w:firstLine="0"/>
              <w:jc w:val="center"/>
              <w:rPr>
                <w:rFonts w:ascii="Times New Roman" w:eastAsia="標楷體" w:hAnsi="Times New Roman" w:hint="eastAsia"/>
                <w:szCs w:val="24"/>
              </w:rPr>
            </w:pPr>
            <w:r w:rsidRPr="00D5245D">
              <w:rPr>
                <w:rFonts w:ascii="Times New Roman" w:eastAsia="標楷體" w:hAnsi="Times New Roman" w:hint="eastAsia"/>
                <w:szCs w:val="24"/>
              </w:rPr>
              <w:t>(</w:t>
            </w:r>
            <w:r w:rsidRPr="00D5245D">
              <w:rPr>
                <w:rFonts w:ascii="Times New Roman" w:eastAsia="標楷體" w:hAnsi="Times New Roman" w:hint="eastAsia"/>
                <w:szCs w:val="24"/>
              </w:rPr>
              <w:t>第四款至第七款未修正，略</w:t>
            </w:r>
            <w:r w:rsidRPr="00D5245D">
              <w:rPr>
                <w:rFonts w:ascii="Times New Roman" w:eastAsia="標楷體" w:hAnsi="Times New Roman" w:hint="eastAsia"/>
                <w:szCs w:val="24"/>
              </w:rPr>
              <w:t>)</w:t>
            </w:r>
          </w:p>
          <w:p w14:paraId="7F4CC907" w14:textId="77777777" w:rsidR="006253BF" w:rsidRPr="00D5245D" w:rsidRDefault="006253BF"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1" w:hangingChars="413" w:hanging="991"/>
              <w:jc w:val="both"/>
              <w:rPr>
                <w:rFonts w:ascii="Times New Roman" w:eastAsia="標楷體" w:hAnsi="Times New Roman" w:hint="eastAsia"/>
                <w:szCs w:val="24"/>
              </w:rPr>
            </w:pPr>
            <w:r w:rsidRPr="00D5245D">
              <w:rPr>
                <w:rFonts w:ascii="Times New Roman" w:eastAsia="標楷體" w:hAnsi="Times New Roman"/>
                <w:kern w:val="0"/>
                <w:szCs w:val="24"/>
              </w:rPr>
              <w:t xml:space="preserve">    (</w:t>
            </w:r>
            <w:r w:rsidRPr="00D5245D">
              <w:rPr>
                <w:rFonts w:ascii="Times New Roman" w:eastAsia="標楷體" w:hAnsi="Times New Roman" w:hint="eastAsia"/>
                <w:kern w:val="0"/>
                <w:szCs w:val="24"/>
              </w:rPr>
              <w:t>八</w:t>
            </w:r>
            <w:r w:rsidRPr="00D5245D">
              <w:rPr>
                <w:rFonts w:ascii="Times New Roman" w:eastAsia="標楷體" w:hAnsi="Times New Roman"/>
                <w:kern w:val="0"/>
                <w:szCs w:val="24"/>
              </w:rPr>
              <w:t xml:space="preserve">) </w:t>
            </w:r>
            <w:r w:rsidRPr="00D5245D">
              <w:rPr>
                <w:rFonts w:ascii="Times New Roman" w:eastAsia="標楷體" w:hAnsi="Times New Roman" w:hint="eastAsia"/>
                <w:color w:val="FF0000"/>
                <w:kern w:val="0"/>
                <w:szCs w:val="24"/>
                <w:u w:val="single"/>
              </w:rPr>
              <w:t>一般板</w:t>
            </w:r>
            <w:r w:rsidRPr="00D5245D">
              <w:rPr>
                <w:rFonts w:ascii="Times New Roman" w:eastAsia="標楷體" w:hAnsi="Times New Roman" w:hint="eastAsia"/>
                <w:kern w:val="0"/>
                <w:szCs w:val="24"/>
              </w:rPr>
              <w:t>股票議價買賣之業務主管及業務人員之配置及分工方式，及各相關人員之緊急聯絡電話。</w:t>
            </w:r>
          </w:p>
        </w:tc>
        <w:tc>
          <w:tcPr>
            <w:tcW w:w="3285" w:type="dxa"/>
            <w:shd w:val="clear" w:color="auto" w:fill="auto"/>
          </w:tcPr>
          <w:p w14:paraId="3FC902AF" w14:textId="77777777" w:rsidR="006253BF" w:rsidRPr="00D5245D" w:rsidRDefault="006253BF" w:rsidP="00EB62A6">
            <w:pPr>
              <w:spacing w:afterLines="50" w:after="180" w:line="360" w:lineRule="exact"/>
              <w:ind w:left="480" w:hangingChars="200" w:hanging="480"/>
              <w:jc w:val="both"/>
              <w:rPr>
                <w:rFonts w:ascii="Times New Roman" w:eastAsia="標楷體" w:hAnsi="Times New Roman"/>
                <w:szCs w:val="24"/>
              </w:rPr>
            </w:pPr>
            <w:r w:rsidRPr="00D5245D">
              <w:rPr>
                <w:rFonts w:ascii="Times New Roman" w:eastAsia="標楷體" w:hAnsi="Times New Roman"/>
                <w:szCs w:val="24"/>
              </w:rPr>
              <w:lastRenderedPageBreak/>
              <w:t>三、推薦證券商訂定</w:t>
            </w:r>
            <w:proofErr w:type="gramStart"/>
            <w:r w:rsidRPr="00D5245D">
              <w:rPr>
                <w:rFonts w:ascii="Times New Roman" w:eastAsia="標楷體" w:hAnsi="Times New Roman"/>
                <w:szCs w:val="24"/>
              </w:rPr>
              <w:t>之</w:t>
            </w:r>
            <w:r w:rsidRPr="00D5245D">
              <w:rPr>
                <w:rFonts w:ascii="Times New Roman" w:eastAsia="標楷體" w:hAnsi="Times New Roman"/>
                <w:color w:val="FF0000"/>
                <w:szCs w:val="24"/>
                <w:u w:val="single"/>
              </w:rPr>
              <w:t>興櫃</w:t>
            </w:r>
            <w:proofErr w:type="gramEnd"/>
            <w:r w:rsidRPr="00D5245D">
              <w:rPr>
                <w:rFonts w:ascii="Times New Roman" w:eastAsia="標楷體" w:hAnsi="Times New Roman"/>
                <w:szCs w:val="24"/>
              </w:rPr>
              <w:t>股票議價買賣內部作業辦法，至少應記載之內容如下：</w:t>
            </w:r>
          </w:p>
          <w:p w14:paraId="1D78D835" w14:textId="77777777" w:rsidR="006253BF" w:rsidRPr="00D5245D" w:rsidRDefault="006253BF"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40" w:lineRule="auto"/>
              <w:ind w:firstLineChars="0" w:firstLine="0"/>
              <w:jc w:val="center"/>
              <w:rPr>
                <w:rFonts w:ascii="Times New Roman" w:eastAsia="標楷體" w:hAnsi="Times New Roman"/>
                <w:kern w:val="0"/>
                <w:szCs w:val="24"/>
              </w:rPr>
            </w:pPr>
            <w:r w:rsidRPr="00D5245D">
              <w:rPr>
                <w:rFonts w:ascii="Times New Roman" w:eastAsia="標楷體" w:hAnsi="Times New Roman"/>
                <w:kern w:val="0"/>
                <w:szCs w:val="24"/>
              </w:rPr>
              <w:t>(</w:t>
            </w:r>
            <w:r w:rsidRPr="00D5245D">
              <w:rPr>
                <w:rFonts w:ascii="Times New Roman" w:eastAsia="標楷體" w:hAnsi="Times New Roman"/>
                <w:kern w:val="0"/>
                <w:szCs w:val="24"/>
              </w:rPr>
              <w:t>第</w:t>
            </w:r>
            <w:r w:rsidRPr="00D5245D">
              <w:rPr>
                <w:rFonts w:ascii="Times New Roman" w:eastAsia="標楷體" w:hAnsi="Times New Roman" w:hint="eastAsia"/>
                <w:kern w:val="0"/>
                <w:szCs w:val="24"/>
              </w:rPr>
              <w:t>一</w:t>
            </w:r>
            <w:r w:rsidRPr="00D5245D">
              <w:rPr>
                <w:rFonts w:ascii="Times New Roman" w:eastAsia="標楷體" w:hAnsi="Times New Roman"/>
                <w:kern w:val="0"/>
                <w:szCs w:val="24"/>
              </w:rPr>
              <w:t>款及第</w:t>
            </w:r>
            <w:r w:rsidRPr="00D5245D">
              <w:rPr>
                <w:rFonts w:ascii="Times New Roman" w:eastAsia="標楷體" w:hAnsi="Times New Roman" w:hint="eastAsia"/>
                <w:kern w:val="0"/>
                <w:szCs w:val="24"/>
              </w:rPr>
              <w:t>二</w:t>
            </w:r>
            <w:r w:rsidRPr="00D5245D">
              <w:rPr>
                <w:rFonts w:ascii="Times New Roman" w:eastAsia="標楷體" w:hAnsi="Times New Roman"/>
                <w:kern w:val="0"/>
                <w:szCs w:val="24"/>
              </w:rPr>
              <w:t>款未修正，略</w:t>
            </w:r>
            <w:r w:rsidRPr="00D5245D">
              <w:rPr>
                <w:rFonts w:ascii="Times New Roman" w:eastAsia="標楷體" w:hAnsi="Times New Roman"/>
                <w:kern w:val="0"/>
                <w:szCs w:val="24"/>
              </w:rPr>
              <w:t>)</w:t>
            </w:r>
          </w:p>
          <w:p w14:paraId="400B1A8F" w14:textId="77777777" w:rsidR="006253BF" w:rsidRPr="00D5245D" w:rsidRDefault="006253BF"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r w:rsidRPr="00D5245D">
              <w:rPr>
                <w:rFonts w:ascii="Times New Roman" w:eastAsia="標楷體" w:hAnsi="Times New Roman"/>
                <w:kern w:val="0"/>
                <w:szCs w:val="24"/>
              </w:rPr>
              <w:t xml:space="preserve">   (</w:t>
            </w:r>
            <w:r w:rsidRPr="00D5245D">
              <w:rPr>
                <w:rFonts w:ascii="Times New Roman" w:eastAsia="標楷體" w:hAnsi="Times New Roman"/>
                <w:kern w:val="0"/>
                <w:szCs w:val="24"/>
              </w:rPr>
              <w:t>三</w:t>
            </w:r>
            <w:r w:rsidRPr="00D5245D">
              <w:rPr>
                <w:rFonts w:ascii="Times New Roman" w:eastAsia="標楷體" w:hAnsi="Times New Roman"/>
                <w:kern w:val="0"/>
                <w:szCs w:val="24"/>
              </w:rPr>
              <w:t xml:space="preserve">) </w:t>
            </w:r>
            <w:r w:rsidRPr="00D5245D">
              <w:rPr>
                <w:rFonts w:ascii="Times New Roman" w:eastAsia="標楷體" w:hAnsi="Times New Roman"/>
                <w:kern w:val="0"/>
                <w:szCs w:val="24"/>
              </w:rPr>
              <w:t>報價決定依據：</w:t>
            </w:r>
          </w:p>
          <w:p w14:paraId="0506A75C"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1.</w:t>
            </w:r>
            <w:r w:rsidRPr="00D5245D">
              <w:rPr>
                <w:rFonts w:ascii="Times New Roman" w:eastAsia="標楷體" w:hAnsi="Times New Roman" w:hint="eastAsia"/>
                <w:kern w:val="0"/>
                <w:szCs w:val="24"/>
              </w:rPr>
              <w:t>報價核決權限及相關人員。</w:t>
            </w:r>
          </w:p>
          <w:p w14:paraId="6B4F2BDE"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2.</w:t>
            </w:r>
            <w:r w:rsidRPr="00D5245D">
              <w:rPr>
                <w:rFonts w:ascii="Times New Roman" w:eastAsia="標楷體" w:hAnsi="Times New Roman" w:hint="eastAsia"/>
                <w:kern w:val="0"/>
                <w:szCs w:val="24"/>
              </w:rPr>
              <w:t>合理庫存部位決定方式。</w:t>
            </w:r>
          </w:p>
          <w:p w14:paraId="5752CD5F"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3.</w:t>
            </w:r>
            <w:r w:rsidRPr="00D5245D">
              <w:rPr>
                <w:rFonts w:ascii="Times New Roman" w:eastAsia="標楷體" w:hAnsi="Times New Roman" w:hint="eastAsia"/>
                <w:kern w:val="0"/>
                <w:szCs w:val="24"/>
              </w:rPr>
              <w:t>每一營業日對所推薦</w:t>
            </w:r>
            <w:proofErr w:type="gramStart"/>
            <w:r w:rsidRPr="00D5245D">
              <w:rPr>
                <w:rFonts w:ascii="Times New Roman" w:eastAsia="標楷體" w:hAnsi="Times New Roman" w:hint="eastAsia"/>
                <w:kern w:val="0"/>
                <w:szCs w:val="24"/>
              </w:rPr>
              <w:t>之</w:t>
            </w:r>
            <w:r w:rsidRPr="00D5245D">
              <w:rPr>
                <w:rFonts w:ascii="Times New Roman" w:eastAsia="標楷體" w:hAnsi="Times New Roman" w:hint="eastAsia"/>
                <w:color w:val="FF0000"/>
                <w:kern w:val="0"/>
                <w:szCs w:val="24"/>
                <w:u w:val="single"/>
              </w:rPr>
              <w:t>興櫃</w:t>
            </w:r>
            <w:proofErr w:type="gramEnd"/>
            <w:r w:rsidRPr="00D5245D">
              <w:rPr>
                <w:rFonts w:ascii="Times New Roman" w:eastAsia="標楷體" w:hAnsi="Times New Roman" w:hint="eastAsia"/>
                <w:kern w:val="0"/>
                <w:szCs w:val="24"/>
              </w:rPr>
              <w:t>股票，其第一筆報價價格決定依據</w:t>
            </w:r>
            <w:r w:rsidRPr="00D5245D">
              <w:rPr>
                <w:rFonts w:ascii="Times New Roman" w:eastAsia="標楷體" w:hAnsi="Times New Roman" w:hint="eastAsia"/>
                <w:kern w:val="0"/>
                <w:szCs w:val="24"/>
              </w:rPr>
              <w:t xml:space="preserve">          </w:t>
            </w:r>
            <w:r w:rsidRPr="00D5245D">
              <w:rPr>
                <w:rFonts w:ascii="Times New Roman" w:eastAsia="標楷體" w:hAnsi="Times New Roman" w:hint="eastAsia"/>
                <w:kern w:val="0"/>
                <w:szCs w:val="24"/>
              </w:rPr>
              <w:t>及當日後續報價價格決定依據：</w:t>
            </w:r>
          </w:p>
          <w:p w14:paraId="1E9D9ABE"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kern w:val="0"/>
                <w:szCs w:val="24"/>
              </w:rPr>
            </w:pPr>
            <w:r w:rsidRPr="00D5245D">
              <w:rPr>
                <w:rFonts w:ascii="Times New Roman" w:eastAsia="標楷體" w:hAnsi="Times New Roman" w:hint="eastAsia"/>
                <w:kern w:val="0"/>
                <w:szCs w:val="24"/>
              </w:rPr>
              <w:t>(1)</w:t>
            </w:r>
            <w:r w:rsidRPr="00D5245D">
              <w:rPr>
                <w:rFonts w:ascii="Times New Roman" w:eastAsia="標楷體" w:hAnsi="Times New Roman" w:hint="eastAsia"/>
                <w:kern w:val="0"/>
                <w:szCs w:val="24"/>
              </w:rPr>
              <w:t>交易市場委託買賣狀況。</w:t>
            </w:r>
          </w:p>
          <w:p w14:paraId="1F462DB6"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kern w:val="0"/>
                <w:szCs w:val="24"/>
              </w:rPr>
            </w:pPr>
            <w:r w:rsidRPr="00D5245D">
              <w:rPr>
                <w:rFonts w:ascii="Times New Roman" w:eastAsia="標楷體" w:hAnsi="Times New Roman" w:hint="eastAsia"/>
                <w:kern w:val="0"/>
                <w:szCs w:val="24"/>
              </w:rPr>
              <w:lastRenderedPageBreak/>
              <w:t>(2)</w:t>
            </w:r>
            <w:r w:rsidRPr="00D5245D">
              <w:rPr>
                <w:rFonts w:ascii="Times New Roman" w:eastAsia="標楷體" w:hAnsi="Times New Roman" w:hint="eastAsia"/>
                <w:kern w:val="0"/>
                <w:szCs w:val="24"/>
              </w:rPr>
              <w:t>每一營業日第一筆報價與前一營業日</w:t>
            </w:r>
            <w:proofErr w:type="gramStart"/>
            <w:r w:rsidRPr="00D5245D">
              <w:rPr>
                <w:rFonts w:ascii="Times New Roman" w:eastAsia="標楷體" w:hAnsi="Times New Roman" w:hint="eastAsia"/>
                <w:kern w:val="0"/>
                <w:szCs w:val="24"/>
              </w:rPr>
              <w:t>成交均價及</w:t>
            </w:r>
            <w:proofErr w:type="gramEnd"/>
            <w:r w:rsidRPr="00D5245D">
              <w:rPr>
                <w:rFonts w:ascii="Times New Roman" w:eastAsia="標楷體" w:hAnsi="Times New Roman" w:hint="eastAsia"/>
                <w:kern w:val="0"/>
                <w:szCs w:val="24"/>
              </w:rPr>
              <w:t>本身最後一筆報價之關聯性。</w:t>
            </w:r>
            <w:r w:rsidRPr="00D5245D">
              <w:rPr>
                <w:rFonts w:ascii="Times New Roman" w:eastAsia="標楷體" w:hAnsi="Times New Roman" w:hint="eastAsia"/>
                <w:kern w:val="0"/>
                <w:szCs w:val="24"/>
              </w:rPr>
              <w:t xml:space="preserve"> </w:t>
            </w:r>
          </w:p>
          <w:p w14:paraId="62546BEB"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kern w:val="0"/>
                <w:szCs w:val="24"/>
              </w:rPr>
            </w:pPr>
            <w:r w:rsidRPr="00D5245D">
              <w:rPr>
                <w:rFonts w:ascii="Times New Roman" w:eastAsia="標楷體" w:hAnsi="Times New Roman" w:hint="eastAsia"/>
                <w:kern w:val="0"/>
                <w:szCs w:val="24"/>
              </w:rPr>
              <w:t>(3)</w:t>
            </w:r>
            <w:r w:rsidRPr="00D5245D">
              <w:rPr>
                <w:rFonts w:ascii="Times New Roman" w:eastAsia="標楷體" w:hAnsi="Times New Roman" w:hint="eastAsia"/>
                <w:kern w:val="0"/>
                <w:szCs w:val="24"/>
              </w:rPr>
              <w:t>所參考</w:t>
            </w:r>
            <w:proofErr w:type="gramStart"/>
            <w:r w:rsidRPr="00D5245D">
              <w:rPr>
                <w:rFonts w:ascii="Times New Roman" w:eastAsia="標楷體" w:hAnsi="Times New Roman" w:hint="eastAsia"/>
                <w:kern w:val="0"/>
                <w:szCs w:val="24"/>
              </w:rPr>
              <w:t>之</w:t>
            </w:r>
            <w:r w:rsidRPr="00D5245D">
              <w:rPr>
                <w:rFonts w:ascii="Times New Roman" w:eastAsia="標楷體" w:hAnsi="Times New Roman" w:hint="eastAsia"/>
                <w:color w:val="FF0000"/>
                <w:kern w:val="0"/>
                <w:szCs w:val="24"/>
                <w:u w:val="single"/>
              </w:rPr>
              <w:t>興櫃</w:t>
            </w:r>
            <w:proofErr w:type="gramEnd"/>
            <w:r w:rsidRPr="00D5245D">
              <w:rPr>
                <w:rFonts w:ascii="Times New Roman" w:eastAsia="標楷體" w:hAnsi="Times New Roman" w:hint="eastAsia"/>
                <w:kern w:val="0"/>
                <w:szCs w:val="24"/>
              </w:rPr>
              <w:t>公司財務業務面指標。</w:t>
            </w:r>
            <w:r w:rsidRPr="00D5245D">
              <w:rPr>
                <w:rFonts w:ascii="Times New Roman" w:eastAsia="標楷體" w:hAnsi="Times New Roman" w:hint="eastAsia"/>
                <w:kern w:val="0"/>
                <w:szCs w:val="24"/>
              </w:rPr>
              <w:t xml:space="preserve"> </w:t>
            </w:r>
          </w:p>
          <w:p w14:paraId="5BBCF72D"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(4)</w:t>
            </w:r>
            <w:r w:rsidRPr="00D5245D">
              <w:rPr>
                <w:rFonts w:ascii="Times New Roman" w:eastAsia="標楷體" w:hAnsi="Times New Roman" w:hint="eastAsia"/>
                <w:kern w:val="0"/>
                <w:szCs w:val="24"/>
              </w:rPr>
              <w:t>所參考之總體經濟指標及產業前景資料。</w:t>
            </w:r>
          </w:p>
          <w:p w14:paraId="7B636D42" w14:textId="77777777" w:rsidR="006253BF" w:rsidRPr="00D5245D" w:rsidRDefault="006253BF" w:rsidP="00EB62A6">
            <w:pPr>
              <w:widowControl/>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13" w:left="1303" w:hangingChars="130" w:hanging="312"/>
              <w:jc w:val="both"/>
              <w:rPr>
                <w:rFonts w:ascii="Times New Roman" w:eastAsia="標楷體" w:hAnsi="Times New Roman" w:hint="eastAsia"/>
                <w:kern w:val="0"/>
                <w:szCs w:val="24"/>
              </w:rPr>
            </w:pPr>
            <w:r w:rsidRPr="00D5245D">
              <w:rPr>
                <w:rFonts w:ascii="Times New Roman" w:eastAsia="標楷體" w:hAnsi="Times New Roman" w:hint="eastAsia"/>
                <w:kern w:val="0"/>
                <w:szCs w:val="24"/>
              </w:rPr>
              <w:t>(5)</w:t>
            </w:r>
            <w:r w:rsidRPr="00D5245D">
              <w:rPr>
                <w:rFonts w:ascii="Times New Roman" w:eastAsia="標楷體" w:hAnsi="Times New Roman" w:hint="eastAsia"/>
                <w:kern w:val="0"/>
                <w:szCs w:val="24"/>
              </w:rPr>
              <w:t>其他考量因素。</w:t>
            </w:r>
          </w:p>
          <w:p w14:paraId="30637D1B"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r w:rsidRPr="00D5245D">
              <w:rPr>
                <w:rFonts w:ascii="Times New Roman" w:eastAsia="標楷體" w:hAnsi="Times New Roman"/>
                <w:kern w:val="0"/>
                <w:szCs w:val="24"/>
              </w:rPr>
              <w:t>4.</w:t>
            </w:r>
            <w:r w:rsidRPr="00D5245D">
              <w:rPr>
                <w:rFonts w:ascii="Times New Roman" w:eastAsia="標楷體" w:hAnsi="Times New Roman"/>
                <w:kern w:val="0"/>
                <w:szCs w:val="24"/>
              </w:rPr>
              <w:t>對於開始櫃檯買賣首日</w:t>
            </w:r>
            <w:proofErr w:type="gramStart"/>
            <w:r w:rsidRPr="00D5245D">
              <w:rPr>
                <w:rFonts w:ascii="Times New Roman" w:eastAsia="標楷體" w:hAnsi="Times New Roman"/>
                <w:kern w:val="0"/>
                <w:szCs w:val="24"/>
              </w:rPr>
              <w:t>之</w:t>
            </w:r>
            <w:r w:rsidRPr="00D5245D">
              <w:rPr>
                <w:rFonts w:ascii="Times New Roman" w:eastAsia="標楷體" w:hAnsi="Times New Roman"/>
                <w:color w:val="FF0000"/>
                <w:kern w:val="0"/>
                <w:szCs w:val="24"/>
                <w:u w:val="single"/>
              </w:rPr>
              <w:t>興櫃</w:t>
            </w:r>
            <w:proofErr w:type="gramEnd"/>
            <w:r w:rsidRPr="00D5245D">
              <w:rPr>
                <w:rFonts w:ascii="Times New Roman" w:eastAsia="標楷體" w:hAnsi="Times New Roman"/>
                <w:kern w:val="0"/>
                <w:szCs w:val="24"/>
              </w:rPr>
              <w:t>股票，除須記載第</w:t>
            </w:r>
            <w:r w:rsidRPr="00D5245D">
              <w:rPr>
                <w:rFonts w:ascii="Times New Roman" w:eastAsia="標楷體" w:hAnsi="Times New Roman"/>
                <w:kern w:val="0"/>
                <w:szCs w:val="24"/>
              </w:rPr>
              <w:t xml:space="preserve"> 3</w:t>
            </w:r>
            <w:proofErr w:type="gramStart"/>
            <w:r w:rsidRPr="00D5245D">
              <w:rPr>
                <w:rFonts w:ascii="Times New Roman" w:eastAsia="標楷體" w:hAnsi="Times New Roman"/>
                <w:kern w:val="0"/>
                <w:szCs w:val="24"/>
              </w:rPr>
              <w:t>目各點外</w:t>
            </w:r>
            <w:proofErr w:type="gramEnd"/>
            <w:r w:rsidRPr="00D5245D">
              <w:rPr>
                <w:rFonts w:ascii="Times New Roman" w:eastAsia="標楷體" w:hAnsi="Times New Roman"/>
                <w:kern w:val="0"/>
                <w:szCs w:val="24"/>
              </w:rPr>
              <w:t>，另須</w:t>
            </w:r>
            <w:proofErr w:type="gramStart"/>
            <w:r w:rsidRPr="00D5245D">
              <w:rPr>
                <w:rFonts w:ascii="Times New Roman" w:eastAsia="標楷體" w:hAnsi="Times New Roman"/>
                <w:kern w:val="0"/>
                <w:szCs w:val="24"/>
              </w:rPr>
              <w:t>記載</w:t>
            </w:r>
            <w:r w:rsidRPr="00D5245D">
              <w:rPr>
                <w:rFonts w:ascii="Times New Roman" w:eastAsia="標楷體" w:hAnsi="Times New Roman"/>
                <w:color w:val="FF0000"/>
                <w:kern w:val="0"/>
                <w:szCs w:val="24"/>
                <w:u w:val="single"/>
              </w:rPr>
              <w:t>興櫃</w:t>
            </w:r>
            <w:r w:rsidRPr="00D5245D">
              <w:rPr>
                <w:rFonts w:ascii="Times New Roman" w:eastAsia="標楷體" w:hAnsi="Times New Roman"/>
                <w:kern w:val="0"/>
                <w:szCs w:val="24"/>
              </w:rPr>
              <w:t>股票</w:t>
            </w:r>
            <w:proofErr w:type="gramEnd"/>
            <w:r w:rsidRPr="00D5245D">
              <w:rPr>
                <w:rFonts w:ascii="Times New Roman" w:eastAsia="標楷體" w:hAnsi="Times New Roman"/>
                <w:kern w:val="0"/>
                <w:szCs w:val="24"/>
              </w:rPr>
              <w:t>櫃檯買賣首日第一筆報價價格決定依據</w:t>
            </w:r>
            <w:r w:rsidRPr="00D5245D">
              <w:rPr>
                <w:rFonts w:ascii="Times New Roman" w:eastAsia="標楷體" w:hAnsi="Times New Roman" w:hint="eastAsia"/>
                <w:kern w:val="0"/>
                <w:szCs w:val="24"/>
              </w:rPr>
              <w:t>及</w:t>
            </w:r>
            <w:r w:rsidRPr="00D5245D">
              <w:rPr>
                <w:rFonts w:ascii="Times New Roman" w:eastAsia="標楷體" w:hAnsi="Times New Roman"/>
                <w:kern w:val="0"/>
                <w:szCs w:val="24"/>
              </w:rPr>
              <w:t>與認購價格之關聯性。</w:t>
            </w:r>
          </w:p>
          <w:p w14:paraId="73C33FA9"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246E21D8"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3015213A"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35A88C08"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1E10E035" w14:textId="77777777" w:rsidR="006253BF"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087607CE" w14:textId="77777777" w:rsidR="006253BF"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3316264E" w14:textId="77777777" w:rsidR="006253BF"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73C84836"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p>
          <w:p w14:paraId="65874390"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1137E693" w14:textId="77777777" w:rsidR="006253BF"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2895412A"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p>
          <w:p w14:paraId="00F19EBC"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kern w:val="0"/>
                <w:szCs w:val="24"/>
              </w:rPr>
            </w:pPr>
          </w:p>
          <w:p w14:paraId="506347CC"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kern w:val="0"/>
                <w:szCs w:val="24"/>
              </w:rPr>
            </w:pPr>
          </w:p>
          <w:p w14:paraId="0BC62B1D"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hint="eastAsia"/>
                <w:szCs w:val="24"/>
              </w:rPr>
            </w:pPr>
            <w:r w:rsidRPr="00D5245D">
              <w:rPr>
                <w:rFonts w:ascii="Times New Roman" w:eastAsia="標楷體" w:hAnsi="Times New Roman" w:hint="eastAsia"/>
                <w:color w:val="FF0000"/>
                <w:szCs w:val="24"/>
                <w:u w:val="single"/>
              </w:rPr>
              <w:t>5</w:t>
            </w:r>
            <w:r w:rsidRPr="00D5245D">
              <w:rPr>
                <w:rFonts w:ascii="Times New Roman" w:eastAsia="標楷體" w:hAnsi="Times New Roman" w:hint="eastAsia"/>
                <w:szCs w:val="24"/>
              </w:rPr>
              <w:t>.</w:t>
            </w:r>
            <w:r w:rsidRPr="00D5245D">
              <w:rPr>
                <w:rFonts w:ascii="Times New Roman" w:eastAsia="標楷體" w:hAnsi="Times New Roman" w:hint="eastAsia"/>
                <w:szCs w:val="24"/>
              </w:rPr>
              <w:t>報價調整比例上限及報價調整超過上限時之核決層級及處理程序（應留存書面紀錄備查）。</w:t>
            </w:r>
          </w:p>
          <w:p w14:paraId="4C70B9D9"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00" w:left="960" w:hangingChars="100" w:hanging="240"/>
              <w:jc w:val="both"/>
              <w:rPr>
                <w:rFonts w:ascii="Times New Roman" w:eastAsia="標楷體" w:hAnsi="Times New Roman"/>
                <w:szCs w:val="24"/>
              </w:rPr>
            </w:pPr>
            <w:r w:rsidRPr="00D5245D">
              <w:rPr>
                <w:rFonts w:ascii="Times New Roman" w:eastAsia="標楷體" w:hAnsi="Times New Roman" w:hint="eastAsia"/>
                <w:color w:val="FF0000"/>
                <w:szCs w:val="24"/>
                <w:u w:val="single"/>
              </w:rPr>
              <w:lastRenderedPageBreak/>
              <w:t>6</w:t>
            </w:r>
            <w:r w:rsidRPr="00D5245D">
              <w:rPr>
                <w:rFonts w:ascii="Times New Roman" w:eastAsia="標楷體" w:hAnsi="Times New Roman" w:hint="eastAsia"/>
                <w:szCs w:val="24"/>
              </w:rPr>
              <w:t>.</w:t>
            </w:r>
            <w:r w:rsidRPr="00D5245D">
              <w:rPr>
                <w:rFonts w:ascii="Times New Roman" w:eastAsia="標楷體" w:hAnsi="Times New Roman" w:hint="eastAsia"/>
                <w:szCs w:val="24"/>
              </w:rPr>
              <w:t>報價與該股票之上櫃或上市承銷價</w:t>
            </w:r>
            <w:r w:rsidRPr="00D5245D">
              <w:rPr>
                <w:rFonts w:ascii="Times New Roman" w:eastAsia="標楷體" w:hAnsi="Times New Roman" w:hint="eastAsia"/>
                <w:kern w:val="0"/>
                <w:szCs w:val="24"/>
              </w:rPr>
              <w:t>差距</w:t>
            </w:r>
            <w:r w:rsidRPr="00D5245D">
              <w:rPr>
                <w:rFonts w:ascii="Times New Roman" w:eastAsia="標楷體" w:hAnsi="Times New Roman" w:hint="eastAsia"/>
                <w:szCs w:val="24"/>
              </w:rPr>
              <w:t>百分之三十以上時，應</w:t>
            </w:r>
            <w:r w:rsidRPr="00D5245D">
              <w:rPr>
                <w:rFonts w:ascii="Times New Roman" w:eastAsia="標楷體" w:hAnsi="Times New Roman" w:hint="eastAsia"/>
                <w:szCs w:val="24"/>
              </w:rPr>
              <w:t xml:space="preserve">          </w:t>
            </w:r>
            <w:r w:rsidRPr="00D5245D">
              <w:rPr>
                <w:rFonts w:ascii="Times New Roman" w:eastAsia="標楷體" w:hAnsi="Times New Roman" w:hint="eastAsia"/>
                <w:szCs w:val="24"/>
              </w:rPr>
              <w:t>於當日收市後評估其報價之合理性及因應措施，出具書面報告陳報總經理核定後留存備查，嗣後任一營業日前揭報價差距又達百分之三十以上時，得由總經理視個案具體情況授權副總經理或相關業務之最高主管核定，並留存備查。</w:t>
            </w:r>
          </w:p>
          <w:p w14:paraId="1B968A28" w14:textId="77777777" w:rsidR="006253BF" w:rsidRPr="00D5245D" w:rsidRDefault="006253BF"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firstLineChars="0" w:firstLine="0"/>
              <w:jc w:val="center"/>
              <w:rPr>
                <w:rFonts w:ascii="Times New Roman" w:eastAsia="標楷體" w:hAnsi="Times New Roman" w:hint="eastAsia"/>
                <w:szCs w:val="24"/>
              </w:rPr>
            </w:pPr>
            <w:r w:rsidRPr="00D5245D">
              <w:rPr>
                <w:rFonts w:ascii="Times New Roman" w:eastAsia="標楷體" w:hAnsi="Times New Roman" w:hint="eastAsia"/>
                <w:szCs w:val="24"/>
              </w:rPr>
              <w:t>(</w:t>
            </w:r>
            <w:r w:rsidRPr="00D5245D">
              <w:rPr>
                <w:rFonts w:ascii="Times New Roman" w:eastAsia="標楷體" w:hAnsi="Times New Roman" w:hint="eastAsia"/>
                <w:szCs w:val="24"/>
              </w:rPr>
              <w:t>第四款至第七款未修正，略</w:t>
            </w:r>
            <w:r w:rsidRPr="00D5245D">
              <w:rPr>
                <w:rFonts w:ascii="Times New Roman" w:eastAsia="標楷體" w:hAnsi="Times New Roman" w:hint="eastAsia"/>
                <w:szCs w:val="24"/>
              </w:rPr>
              <w:t>)</w:t>
            </w:r>
          </w:p>
          <w:p w14:paraId="793EEF94" w14:textId="77777777" w:rsidR="006253BF" w:rsidRPr="00D5245D" w:rsidRDefault="006253BF"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1" w:hangingChars="413" w:hanging="991"/>
              <w:jc w:val="both"/>
              <w:rPr>
                <w:rFonts w:ascii="Times New Roman" w:eastAsia="標楷體" w:hAnsi="Times New Roman" w:hint="eastAsia"/>
                <w:color w:val="FF0000"/>
                <w:szCs w:val="24"/>
              </w:rPr>
            </w:pPr>
            <w:r w:rsidRPr="00D5245D">
              <w:rPr>
                <w:rFonts w:ascii="Times New Roman" w:eastAsia="標楷體" w:hAnsi="Times New Roman"/>
                <w:kern w:val="0"/>
                <w:szCs w:val="24"/>
              </w:rPr>
              <w:t xml:space="preserve">     (</w:t>
            </w:r>
            <w:r w:rsidRPr="00D5245D">
              <w:rPr>
                <w:rFonts w:ascii="Times New Roman" w:eastAsia="標楷體" w:hAnsi="Times New Roman" w:hint="eastAsia"/>
                <w:kern w:val="0"/>
                <w:szCs w:val="24"/>
              </w:rPr>
              <w:t>八</w:t>
            </w:r>
            <w:r w:rsidRPr="00D5245D">
              <w:rPr>
                <w:rFonts w:ascii="Times New Roman" w:eastAsia="標楷體" w:hAnsi="Times New Roman"/>
                <w:kern w:val="0"/>
                <w:szCs w:val="24"/>
              </w:rPr>
              <w:t>)</w:t>
            </w:r>
            <w:proofErr w:type="gramStart"/>
            <w:r w:rsidRPr="00D5245D">
              <w:rPr>
                <w:rFonts w:ascii="Times New Roman" w:eastAsia="標楷體" w:hAnsi="Times New Roman" w:hint="eastAsia"/>
                <w:color w:val="FF0000"/>
                <w:kern w:val="0"/>
                <w:szCs w:val="24"/>
                <w:u w:val="single"/>
              </w:rPr>
              <w:t>興櫃</w:t>
            </w:r>
            <w:r w:rsidRPr="00D5245D">
              <w:rPr>
                <w:rFonts w:ascii="Times New Roman" w:eastAsia="標楷體" w:hAnsi="Times New Roman" w:hint="eastAsia"/>
                <w:kern w:val="0"/>
                <w:szCs w:val="24"/>
              </w:rPr>
              <w:t>股票</w:t>
            </w:r>
            <w:proofErr w:type="gramEnd"/>
            <w:r w:rsidRPr="00D5245D">
              <w:rPr>
                <w:rFonts w:ascii="Times New Roman" w:eastAsia="標楷體" w:hAnsi="Times New Roman" w:hint="eastAsia"/>
                <w:kern w:val="0"/>
                <w:szCs w:val="24"/>
              </w:rPr>
              <w:t>議價買賣之業務主管及業務人員之配置及分工方式，及各相關人員之緊急聯絡電話。</w:t>
            </w:r>
          </w:p>
        </w:tc>
        <w:tc>
          <w:tcPr>
            <w:tcW w:w="2923" w:type="dxa"/>
            <w:shd w:val="clear" w:color="auto" w:fill="auto"/>
          </w:tcPr>
          <w:p w14:paraId="7E79F2CE" w14:textId="77777777" w:rsidR="006253BF" w:rsidRPr="00D5245D" w:rsidRDefault="006253BF" w:rsidP="00EB62A6">
            <w:pPr>
              <w:spacing w:line="360" w:lineRule="exact"/>
              <w:ind w:left="480" w:hangingChars="200" w:hanging="480"/>
              <w:jc w:val="both"/>
              <w:rPr>
                <w:rFonts w:ascii="Times New Roman" w:eastAsia="標楷體" w:hAnsi="Times New Roman"/>
                <w:szCs w:val="24"/>
              </w:rPr>
            </w:pPr>
            <w:r w:rsidRPr="00D5245D">
              <w:rPr>
                <w:rFonts w:ascii="Times New Roman" w:eastAsia="標楷體" w:hAnsi="Times New Roman"/>
                <w:szCs w:val="24"/>
              </w:rPr>
              <w:lastRenderedPageBreak/>
              <w:t>一、</w:t>
            </w:r>
            <w:r w:rsidRPr="002E07C0">
              <w:rPr>
                <w:rFonts w:ascii="Times New Roman" w:eastAsia="標楷體" w:hAnsi="Times New Roman" w:hint="eastAsia"/>
                <w:szCs w:val="24"/>
              </w:rPr>
              <w:t>股票由</w:t>
            </w:r>
            <w:r w:rsidRPr="002E07C0">
              <w:rPr>
                <w:rFonts w:ascii="Times New Roman" w:eastAsia="標楷體" w:hAnsi="Times New Roman"/>
                <w:szCs w:val="24"/>
              </w:rPr>
              <w:t>戰略新板</w:t>
            </w:r>
            <w:r w:rsidRPr="002E07C0">
              <w:rPr>
                <w:rFonts w:ascii="Times New Roman" w:eastAsia="標楷體" w:hAnsi="Times New Roman" w:hint="eastAsia"/>
                <w:szCs w:val="24"/>
              </w:rPr>
              <w:t>或臺灣證券交易所</w:t>
            </w:r>
            <w:proofErr w:type="gramStart"/>
            <w:r w:rsidRPr="002E07C0">
              <w:rPr>
                <w:rFonts w:ascii="Times New Roman" w:eastAsia="標楷體" w:hAnsi="Times New Roman" w:hint="eastAsia"/>
                <w:szCs w:val="24"/>
              </w:rPr>
              <w:t>創新板</w:t>
            </w:r>
            <w:r w:rsidRPr="002E07C0">
              <w:rPr>
                <w:rFonts w:ascii="Times New Roman" w:eastAsia="標楷體" w:hAnsi="Times New Roman"/>
                <w:szCs w:val="24"/>
              </w:rPr>
              <w:t>轉</w:t>
            </w:r>
            <w:r w:rsidRPr="002E07C0">
              <w:rPr>
                <w:rFonts w:ascii="Times New Roman" w:eastAsia="標楷體" w:hAnsi="Times New Roman" w:hint="eastAsia"/>
                <w:szCs w:val="24"/>
              </w:rPr>
              <w:t>至</w:t>
            </w:r>
            <w:proofErr w:type="gramEnd"/>
            <w:r w:rsidRPr="002E07C0">
              <w:rPr>
                <w:rFonts w:ascii="Times New Roman" w:eastAsia="標楷體" w:hAnsi="Times New Roman"/>
                <w:szCs w:val="24"/>
              </w:rPr>
              <w:t>一般板</w:t>
            </w:r>
            <w:r w:rsidRPr="002E07C0">
              <w:rPr>
                <w:rFonts w:ascii="Times New Roman" w:eastAsia="標楷體" w:hAnsi="Times New Roman" w:hint="eastAsia"/>
                <w:szCs w:val="24"/>
              </w:rPr>
              <w:t>交易</w:t>
            </w:r>
            <w:r w:rsidRPr="002E07C0">
              <w:rPr>
                <w:rFonts w:ascii="Times New Roman" w:eastAsia="標楷體" w:hAnsi="Times New Roman"/>
                <w:szCs w:val="24"/>
              </w:rPr>
              <w:t>首日，</w:t>
            </w:r>
            <w:r w:rsidRPr="002E07C0">
              <w:rPr>
                <w:rFonts w:ascii="Times New Roman" w:eastAsia="標楷體" w:hAnsi="Times New Roman" w:hint="eastAsia"/>
                <w:szCs w:val="24"/>
              </w:rPr>
              <w:t>其首筆</w:t>
            </w:r>
            <w:r w:rsidRPr="002E07C0">
              <w:rPr>
                <w:rFonts w:ascii="Times New Roman" w:eastAsia="標楷體" w:hAnsi="Times New Roman"/>
                <w:szCs w:val="24"/>
              </w:rPr>
              <w:t>報價</w:t>
            </w:r>
            <w:r w:rsidRPr="002E07C0">
              <w:rPr>
                <w:rFonts w:ascii="Times New Roman" w:eastAsia="標楷體" w:hAnsi="Times New Roman" w:hint="eastAsia"/>
                <w:szCs w:val="24"/>
              </w:rPr>
              <w:t>應</w:t>
            </w:r>
            <w:r w:rsidRPr="002E07C0">
              <w:rPr>
                <w:rFonts w:ascii="Times New Roman" w:eastAsia="標楷體" w:hAnsi="Times New Roman"/>
                <w:szCs w:val="24"/>
              </w:rPr>
              <w:t>參考該股票於戰略新板</w:t>
            </w:r>
            <w:r w:rsidRPr="002E07C0">
              <w:rPr>
                <w:rFonts w:ascii="Times New Roman" w:eastAsia="標楷體" w:hAnsi="Times New Roman" w:hint="eastAsia"/>
                <w:szCs w:val="24"/>
              </w:rPr>
              <w:t>或創新板</w:t>
            </w:r>
            <w:r w:rsidRPr="002E07C0">
              <w:rPr>
                <w:rFonts w:ascii="Times New Roman" w:eastAsia="標楷體" w:hAnsi="Times New Roman"/>
                <w:szCs w:val="24"/>
              </w:rPr>
              <w:t>交</w:t>
            </w:r>
            <w:r w:rsidRPr="00D5245D">
              <w:rPr>
                <w:rFonts w:ascii="Times New Roman" w:eastAsia="標楷體" w:hAnsi="Times New Roman"/>
                <w:szCs w:val="24"/>
              </w:rPr>
              <w:t>易時之價格</w:t>
            </w:r>
            <w:r w:rsidRPr="00D5245D">
              <w:rPr>
                <w:rFonts w:ascii="Times New Roman" w:eastAsia="標楷體" w:hAnsi="Times New Roman" w:hint="eastAsia"/>
                <w:szCs w:val="24"/>
              </w:rPr>
              <w:t>，不須記載與認購價之關聯性，</w:t>
            </w:r>
            <w:proofErr w:type="gramStart"/>
            <w:r w:rsidRPr="00D5245D">
              <w:rPr>
                <w:rFonts w:ascii="Times New Roman" w:eastAsia="標楷體" w:hAnsi="Times New Roman" w:hint="eastAsia"/>
                <w:szCs w:val="24"/>
              </w:rPr>
              <w:t>爰</w:t>
            </w:r>
            <w:proofErr w:type="gramEnd"/>
            <w:r w:rsidRPr="00D5245D">
              <w:rPr>
                <w:rFonts w:ascii="Times New Roman" w:eastAsia="標楷體" w:hAnsi="Times New Roman" w:hint="eastAsia"/>
                <w:szCs w:val="24"/>
              </w:rPr>
              <w:t>增訂第三款第</w:t>
            </w:r>
            <w:r w:rsidRPr="00D5245D">
              <w:rPr>
                <w:rFonts w:ascii="Times New Roman" w:eastAsia="標楷體" w:hAnsi="Times New Roman" w:hint="eastAsia"/>
                <w:szCs w:val="24"/>
              </w:rPr>
              <w:t>5</w:t>
            </w:r>
            <w:r w:rsidRPr="00D5245D">
              <w:rPr>
                <w:rFonts w:ascii="Times New Roman" w:eastAsia="標楷體" w:hAnsi="Times New Roman" w:hint="eastAsia"/>
                <w:szCs w:val="24"/>
              </w:rPr>
              <w:t>目，以下目次配合調整。</w:t>
            </w:r>
          </w:p>
          <w:p w14:paraId="2764B45C" w14:textId="77777777" w:rsidR="006253BF" w:rsidRPr="00D5245D" w:rsidRDefault="006253BF" w:rsidP="00EB62A6">
            <w:pPr>
              <w:spacing w:line="360" w:lineRule="exact"/>
              <w:ind w:firstLineChars="0" w:firstLine="0"/>
              <w:jc w:val="both"/>
              <w:rPr>
                <w:rFonts w:ascii="Times New Roman" w:eastAsia="標楷體" w:hAnsi="Times New Roman"/>
                <w:szCs w:val="24"/>
                <w:highlight w:val="green"/>
              </w:rPr>
            </w:pPr>
            <w:r w:rsidRPr="00D5245D">
              <w:rPr>
                <w:rFonts w:ascii="Times New Roman" w:eastAsia="標楷體" w:hAnsi="Times New Roman" w:hint="eastAsia"/>
                <w:szCs w:val="24"/>
              </w:rPr>
              <w:t>二、</w:t>
            </w:r>
            <w:proofErr w:type="gramStart"/>
            <w:r w:rsidRPr="00D5245D">
              <w:rPr>
                <w:rFonts w:ascii="Times New Roman" w:eastAsia="標楷體" w:hAnsi="Times New Roman" w:hint="eastAsia"/>
                <w:szCs w:val="24"/>
              </w:rPr>
              <w:t>餘酌作</w:t>
            </w:r>
            <w:proofErr w:type="gramEnd"/>
            <w:r w:rsidRPr="00D5245D">
              <w:rPr>
                <w:rFonts w:ascii="Times New Roman" w:eastAsia="標楷體" w:hAnsi="Times New Roman" w:hint="eastAsia"/>
                <w:szCs w:val="24"/>
              </w:rPr>
              <w:t>文字修正。</w:t>
            </w:r>
          </w:p>
        </w:tc>
      </w:tr>
    </w:tbl>
    <w:p w14:paraId="07F3B94B" w14:textId="78F17DC5" w:rsidR="005D2E78" w:rsidRDefault="006253BF">
      <w:pPr>
        <w:ind w:firstLine="320"/>
      </w:pPr>
      <w:r w:rsidRPr="00D5245D">
        <w:rPr>
          <w:rFonts w:ascii="Times New Roman" w:eastAsia="標楷體" w:hAnsi="Times New Roman"/>
          <w:b/>
          <w:bCs/>
          <w:kern w:val="52"/>
          <w:sz w:val="32"/>
          <w:szCs w:val="32"/>
          <w:lang w:val="x-none" w:eastAsia="x-none"/>
        </w:rPr>
        <w:lastRenderedPageBreak/>
        <w:br w:type="page"/>
      </w:r>
      <w:bookmarkEnd w:id="2"/>
    </w:p>
    <w:sectPr w:rsidR="005D2E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華康仿宋體W4">
    <w:altName w:val="新細明體"/>
    <w:charset w:val="88"/>
    <w:family w:val="modern"/>
    <w:pitch w:val="fixed"/>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BF"/>
    <w:rsid w:val="001A2EB2"/>
    <w:rsid w:val="006253BF"/>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7A54"/>
  <w15:chartTrackingRefBased/>
  <w15:docId w15:val="{F9ECC501-43A9-406B-A712-FAD1420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3BF"/>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2021-03-30T10:20:00Z</dcterms:created>
  <dcterms:modified xsi:type="dcterms:W3CDTF">2021-03-30T10:21:00Z</dcterms:modified>
</cp:coreProperties>
</file>