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402AE" w14:textId="77777777" w:rsidR="00387C07" w:rsidRPr="00596AE5" w:rsidRDefault="00387C07" w:rsidP="00387C07">
      <w:pPr>
        <w:ind w:firstLineChars="0" w:firstLine="0"/>
        <w:jc w:val="center"/>
        <w:rPr>
          <w:rFonts w:eastAsia="標楷體" w:hint="eastAsia"/>
          <w:sz w:val="36"/>
          <w:szCs w:val="36"/>
        </w:rPr>
      </w:pPr>
      <w:r w:rsidRPr="00596AE5">
        <w:rPr>
          <w:rFonts w:eastAsia="標楷體"/>
          <w:sz w:val="36"/>
          <w:szCs w:val="36"/>
        </w:rPr>
        <w:t>財團法人中華民國證券櫃檯買賣中心</w:t>
      </w:r>
    </w:p>
    <w:p w14:paraId="3677AEB2" w14:textId="77777777" w:rsidR="00387C07" w:rsidRPr="007B563D" w:rsidRDefault="00387C07" w:rsidP="00387C07">
      <w:pPr>
        <w:pStyle w:val="1"/>
        <w:spacing w:before="0" w:after="0" w:line="480" w:lineRule="exact"/>
        <w:ind w:firstLine="360"/>
        <w:jc w:val="center"/>
        <w:rPr>
          <w:rFonts w:ascii="Times New Roman" w:eastAsia="標楷體" w:hAnsi="Times New Roman" w:hint="eastAsia"/>
          <w:b w:val="0"/>
          <w:bCs w:val="0"/>
          <w:sz w:val="36"/>
          <w:szCs w:val="32"/>
          <w:lang w:val="x-none"/>
        </w:rPr>
      </w:pPr>
      <w:bookmarkStart w:id="0" w:name="_Toc65578323"/>
      <w:proofErr w:type="spellStart"/>
      <w:r w:rsidRPr="007B563D">
        <w:rPr>
          <w:rFonts w:ascii="Times New Roman" w:eastAsia="標楷體" w:hAnsi="Times New Roman"/>
          <w:b w:val="0"/>
          <w:bCs w:val="0"/>
          <w:sz w:val="36"/>
          <w:szCs w:val="32"/>
          <w:lang w:val="x-none" w:eastAsia="x-none"/>
        </w:rPr>
        <w:t>興櫃股票風險預告書（範例</w:t>
      </w:r>
      <w:proofErr w:type="spellEnd"/>
      <w:r w:rsidRPr="007B563D">
        <w:rPr>
          <w:rFonts w:ascii="Times New Roman" w:eastAsia="標楷體" w:hAnsi="Times New Roman"/>
          <w:b w:val="0"/>
          <w:bCs w:val="0"/>
          <w:sz w:val="36"/>
          <w:szCs w:val="32"/>
          <w:lang w:val="x-none" w:eastAsia="x-none"/>
        </w:rPr>
        <w:t>）</w:t>
      </w:r>
      <w:bookmarkEnd w:id="0"/>
    </w:p>
    <w:p w14:paraId="2875A234" w14:textId="77777777" w:rsidR="00387C07" w:rsidRPr="00596AE5" w:rsidRDefault="00387C07" w:rsidP="00387C07">
      <w:pPr>
        <w:spacing w:afterLines="50" w:after="180"/>
        <w:ind w:firstLineChars="0" w:firstLine="0"/>
        <w:jc w:val="center"/>
        <w:rPr>
          <w:rFonts w:ascii="標楷體" w:eastAsia="標楷體" w:hAnsi="標楷體" w:cs="Calibri Light"/>
          <w:bCs/>
          <w:sz w:val="36"/>
          <w:szCs w:val="32"/>
        </w:rPr>
      </w:pPr>
      <w:r w:rsidRPr="00596AE5">
        <w:rPr>
          <w:rFonts w:ascii="標楷體" w:eastAsia="標楷體" w:hAnsi="標楷體" w:cs="Calibri Light" w:hint="eastAsia"/>
          <w:bCs/>
          <w:sz w:val="36"/>
          <w:szCs w:val="32"/>
        </w:rPr>
        <w:t>修正條文對照表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85"/>
        <w:gridCol w:w="3285"/>
        <w:gridCol w:w="2923"/>
      </w:tblGrid>
      <w:tr w:rsidR="00387C07" w:rsidRPr="00D5245D" w14:paraId="5963D092" w14:textId="77777777" w:rsidTr="00387C07">
        <w:trPr>
          <w:tblHeader/>
        </w:trPr>
        <w:tc>
          <w:tcPr>
            <w:tcW w:w="3285" w:type="dxa"/>
            <w:shd w:val="clear" w:color="auto" w:fill="auto"/>
          </w:tcPr>
          <w:p w14:paraId="43DC7FEE" w14:textId="77777777" w:rsidR="00387C07" w:rsidRPr="00D5245D" w:rsidRDefault="00387C07" w:rsidP="00EB62A6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/>
              </w:rPr>
            </w:pPr>
            <w:r w:rsidRPr="00D5245D">
              <w:rPr>
                <w:rFonts w:ascii="Cambria Math" w:eastAsia="標楷體" w:hAnsi="標楷體" w:cs="Calibri Light" w:hint="eastAsia"/>
                <w:bCs/>
              </w:rPr>
              <w:t>修正名稱</w:t>
            </w:r>
          </w:p>
        </w:tc>
        <w:tc>
          <w:tcPr>
            <w:tcW w:w="3285" w:type="dxa"/>
            <w:shd w:val="clear" w:color="auto" w:fill="auto"/>
          </w:tcPr>
          <w:p w14:paraId="7D249B88" w14:textId="77777777" w:rsidR="00387C07" w:rsidRPr="00D5245D" w:rsidRDefault="00387C07" w:rsidP="00EB62A6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/>
              </w:rPr>
            </w:pPr>
            <w:r w:rsidRPr="00D5245D">
              <w:rPr>
                <w:rFonts w:ascii="Cambria Math" w:eastAsia="標楷體" w:hAnsi="標楷體" w:cs="Calibri Light" w:hint="eastAsia"/>
                <w:bCs/>
              </w:rPr>
              <w:t>現行名稱</w:t>
            </w:r>
          </w:p>
        </w:tc>
        <w:tc>
          <w:tcPr>
            <w:tcW w:w="2923" w:type="dxa"/>
            <w:shd w:val="clear" w:color="auto" w:fill="auto"/>
          </w:tcPr>
          <w:p w14:paraId="006FBAF4" w14:textId="77777777" w:rsidR="00387C07" w:rsidRPr="00D5245D" w:rsidRDefault="00387C07" w:rsidP="00EB62A6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/>
              </w:rPr>
            </w:pPr>
            <w:r w:rsidRPr="00D5245D">
              <w:rPr>
                <w:rFonts w:ascii="Cambria Math" w:eastAsia="標楷體" w:hAnsi="標楷體" w:cs="Calibri Light" w:hint="eastAsia"/>
                <w:bCs/>
              </w:rPr>
              <w:t>說明</w:t>
            </w:r>
          </w:p>
        </w:tc>
      </w:tr>
      <w:tr w:rsidR="00387C07" w:rsidRPr="00D5245D" w14:paraId="66533727" w14:textId="77777777" w:rsidTr="00387C07">
        <w:tc>
          <w:tcPr>
            <w:tcW w:w="3285" w:type="dxa"/>
            <w:shd w:val="clear" w:color="auto" w:fill="auto"/>
          </w:tcPr>
          <w:p w14:paraId="65455824" w14:textId="77777777" w:rsidR="00387C07" w:rsidRPr="00D5245D" w:rsidRDefault="00387C07" w:rsidP="00EB62A6">
            <w:pPr>
              <w:widowControl/>
              <w:tabs>
                <w:tab w:val="left" w:pos="567"/>
                <w:tab w:val="left" w:pos="709"/>
                <w:tab w:val="left" w:pos="851"/>
                <w:tab w:val="left" w:pos="99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  <w:r w:rsidRPr="00D5245D">
              <w:rPr>
                <w:rFonts w:ascii="Times New Roman" w:eastAsia="標楷體" w:hAnsi="Times New Roman" w:hint="eastAsia"/>
              </w:rPr>
              <w:t>財團法人中華民國證券櫃檯買賣</w:t>
            </w:r>
            <w:proofErr w:type="gramStart"/>
            <w:r w:rsidRPr="00D5245D">
              <w:rPr>
                <w:rFonts w:ascii="Times New Roman" w:eastAsia="標楷體" w:hAnsi="Times New Roman" w:hint="eastAsia"/>
              </w:rPr>
              <w:t>中心興櫃</w:t>
            </w:r>
            <w:r w:rsidRPr="00D5245D">
              <w:rPr>
                <w:rFonts w:ascii="Times New Roman" w:eastAsia="標楷體" w:hAnsi="Times New Roman" w:hint="eastAsia"/>
                <w:color w:val="FF0000"/>
                <w:u w:val="single"/>
              </w:rPr>
              <w:t>一般</w:t>
            </w:r>
            <w:proofErr w:type="gramEnd"/>
            <w:r w:rsidRPr="00D5245D">
              <w:rPr>
                <w:rFonts w:ascii="Times New Roman" w:eastAsia="標楷體" w:hAnsi="Times New Roman" w:hint="eastAsia"/>
                <w:color w:val="FF0000"/>
                <w:u w:val="single"/>
              </w:rPr>
              <w:t>板</w:t>
            </w:r>
            <w:r w:rsidRPr="00D5245D">
              <w:rPr>
                <w:rFonts w:ascii="Times New Roman" w:eastAsia="標楷體" w:hAnsi="Times New Roman" w:hint="eastAsia"/>
              </w:rPr>
              <w:t>股票風險預告書（範例）</w:t>
            </w:r>
          </w:p>
        </w:tc>
        <w:tc>
          <w:tcPr>
            <w:tcW w:w="3285" w:type="dxa"/>
            <w:shd w:val="clear" w:color="auto" w:fill="auto"/>
          </w:tcPr>
          <w:p w14:paraId="30533FFC" w14:textId="77777777" w:rsidR="00387C07" w:rsidRPr="00D5245D" w:rsidRDefault="00387C07" w:rsidP="00EB62A6">
            <w:pPr>
              <w:widowControl/>
              <w:tabs>
                <w:tab w:val="left" w:pos="567"/>
                <w:tab w:val="left" w:pos="709"/>
                <w:tab w:val="left" w:pos="851"/>
                <w:tab w:val="left" w:pos="99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Chars="0" w:firstLine="0"/>
              <w:jc w:val="both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D5245D">
              <w:rPr>
                <w:rFonts w:ascii="Times New Roman" w:eastAsia="標楷體" w:hAnsi="Times New Roman" w:hint="eastAsia"/>
              </w:rPr>
              <w:t>財團法人中華民國證券櫃檯買賣</w:t>
            </w:r>
            <w:proofErr w:type="gramStart"/>
            <w:r w:rsidRPr="00D5245D">
              <w:rPr>
                <w:rFonts w:ascii="Times New Roman" w:eastAsia="標楷體" w:hAnsi="Times New Roman" w:hint="eastAsia"/>
              </w:rPr>
              <w:t>中心興櫃股票</w:t>
            </w:r>
            <w:proofErr w:type="gramEnd"/>
            <w:r w:rsidRPr="00D5245D">
              <w:rPr>
                <w:rFonts w:ascii="Times New Roman" w:eastAsia="標楷體" w:hAnsi="Times New Roman" w:hint="eastAsia"/>
              </w:rPr>
              <w:t>風險預告書（範例）</w:t>
            </w:r>
          </w:p>
        </w:tc>
        <w:tc>
          <w:tcPr>
            <w:tcW w:w="2923" w:type="dxa"/>
            <w:shd w:val="clear" w:color="auto" w:fill="auto"/>
          </w:tcPr>
          <w:p w14:paraId="04CA7766" w14:textId="77777777" w:rsidR="00387C07" w:rsidRPr="00D5245D" w:rsidRDefault="00387C07" w:rsidP="00EB62A6">
            <w:pPr>
              <w:widowControl/>
              <w:tabs>
                <w:tab w:val="left" w:pos="235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D5245D">
              <w:rPr>
                <w:rFonts w:ascii="Times New Roman" w:eastAsia="標楷體" w:hAnsi="Times New Roman" w:hint="eastAsia"/>
                <w:szCs w:val="24"/>
              </w:rPr>
              <w:t>興櫃股票</w:t>
            </w:r>
            <w:proofErr w:type="gramEnd"/>
            <w:r w:rsidRPr="00D5245D">
              <w:rPr>
                <w:rFonts w:ascii="Times New Roman" w:eastAsia="標楷體" w:hAnsi="Times New Roman" w:hint="eastAsia"/>
                <w:szCs w:val="24"/>
              </w:rPr>
              <w:t>區分為戰略新板及一般板，且有不同之風險預告書，</w:t>
            </w:r>
            <w:proofErr w:type="gramStart"/>
            <w:r w:rsidRPr="00D5245D">
              <w:rPr>
                <w:rFonts w:ascii="Times New Roman" w:eastAsia="標楷體" w:hAnsi="Times New Roman" w:hint="eastAsia"/>
                <w:szCs w:val="24"/>
              </w:rPr>
              <w:t>爰</w:t>
            </w:r>
            <w:proofErr w:type="gramEnd"/>
            <w:r w:rsidRPr="00D5245D">
              <w:rPr>
                <w:rFonts w:ascii="Times New Roman" w:eastAsia="標楷體" w:hAnsi="Times New Roman" w:hint="eastAsia"/>
                <w:szCs w:val="24"/>
              </w:rPr>
              <w:t>修正</w:t>
            </w:r>
            <w:proofErr w:type="gramStart"/>
            <w:r w:rsidRPr="00D5245D">
              <w:rPr>
                <w:rFonts w:ascii="Times New Roman" w:eastAsia="標楷體" w:hAnsi="Times New Roman" w:hint="eastAsia"/>
                <w:szCs w:val="24"/>
              </w:rPr>
              <w:t>現行興櫃股票</w:t>
            </w:r>
            <w:proofErr w:type="gramEnd"/>
            <w:r w:rsidRPr="00D5245D">
              <w:rPr>
                <w:rFonts w:ascii="Times New Roman" w:eastAsia="標楷體" w:hAnsi="Times New Roman" w:hint="eastAsia"/>
                <w:szCs w:val="24"/>
              </w:rPr>
              <w:t>風險預告書名稱，以資明確。</w:t>
            </w:r>
          </w:p>
        </w:tc>
      </w:tr>
    </w:tbl>
    <w:p w14:paraId="2177CEBA" w14:textId="77777777" w:rsidR="00387C07" w:rsidRPr="00D5245D" w:rsidRDefault="00387C07" w:rsidP="00387C07">
      <w:pPr>
        <w:spacing w:line="240" w:lineRule="auto"/>
        <w:ind w:firstLineChars="0" w:firstLine="0"/>
        <w:jc w:val="center"/>
        <w:rPr>
          <w:rFonts w:ascii="Cambria Math" w:eastAsia="華康仿宋體W4" w:hAnsi="Cambria Math" w:cs="Calibri Light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85"/>
        <w:gridCol w:w="3285"/>
        <w:gridCol w:w="2923"/>
      </w:tblGrid>
      <w:tr w:rsidR="00387C07" w:rsidRPr="00D5245D" w14:paraId="119EEF88" w14:textId="77777777" w:rsidTr="00387C07">
        <w:trPr>
          <w:tblHeader/>
        </w:trPr>
        <w:tc>
          <w:tcPr>
            <w:tcW w:w="3285" w:type="dxa"/>
            <w:shd w:val="clear" w:color="auto" w:fill="auto"/>
          </w:tcPr>
          <w:p w14:paraId="0C427D35" w14:textId="77777777" w:rsidR="00387C07" w:rsidRPr="00D5245D" w:rsidRDefault="00387C07" w:rsidP="00EB62A6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/>
              </w:rPr>
            </w:pPr>
            <w:r w:rsidRPr="00D5245D">
              <w:rPr>
                <w:rFonts w:ascii="Times New Roman" w:eastAsia="標楷體" w:hAnsi="Times New Roman"/>
              </w:rPr>
              <w:t>修正條文</w:t>
            </w:r>
          </w:p>
        </w:tc>
        <w:tc>
          <w:tcPr>
            <w:tcW w:w="3285" w:type="dxa"/>
            <w:shd w:val="clear" w:color="auto" w:fill="auto"/>
          </w:tcPr>
          <w:p w14:paraId="6DCA003D" w14:textId="77777777" w:rsidR="00387C07" w:rsidRPr="00D5245D" w:rsidRDefault="00387C07" w:rsidP="00EB62A6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/>
              </w:rPr>
            </w:pPr>
            <w:r w:rsidRPr="00D5245D">
              <w:rPr>
                <w:rFonts w:ascii="Times New Roman" w:eastAsia="標楷體" w:hAnsi="Times New Roman"/>
              </w:rPr>
              <w:t>現行條文</w:t>
            </w:r>
          </w:p>
        </w:tc>
        <w:tc>
          <w:tcPr>
            <w:tcW w:w="2923" w:type="dxa"/>
            <w:shd w:val="clear" w:color="auto" w:fill="auto"/>
          </w:tcPr>
          <w:p w14:paraId="797827E2" w14:textId="77777777" w:rsidR="00387C07" w:rsidRPr="00D5245D" w:rsidRDefault="00387C07" w:rsidP="00EB62A6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/>
              </w:rPr>
            </w:pPr>
            <w:r w:rsidRPr="00D5245D">
              <w:rPr>
                <w:rFonts w:ascii="Times New Roman" w:eastAsia="標楷體" w:hAnsi="Times New Roman"/>
              </w:rPr>
              <w:t>說明</w:t>
            </w:r>
          </w:p>
        </w:tc>
      </w:tr>
      <w:tr w:rsidR="00387C07" w:rsidRPr="00D5245D" w14:paraId="5493085C" w14:textId="77777777" w:rsidTr="00387C07">
        <w:tc>
          <w:tcPr>
            <w:tcW w:w="3285" w:type="dxa"/>
            <w:shd w:val="clear" w:color="auto" w:fill="auto"/>
          </w:tcPr>
          <w:p w14:paraId="1957F393" w14:textId="77777777" w:rsidR="00387C07" w:rsidRPr="00D5245D" w:rsidRDefault="00387C07" w:rsidP="00EB62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Chars="-10" w:hangingChars="10" w:hanging="24"/>
              <w:jc w:val="both"/>
              <w:rPr>
                <w:rFonts w:ascii="Times New Roman" w:eastAsia="標楷體" w:hAnsi="Times New Roman" w:hint="eastAsia"/>
                <w:szCs w:val="24"/>
              </w:rPr>
            </w:pPr>
            <w:r w:rsidRPr="00D5245D"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 w:rsidRPr="00D5245D">
              <w:rPr>
                <w:rFonts w:ascii="Times New Roman" w:eastAsia="標楷體" w:hAnsi="Times New Roman" w:hint="eastAsia"/>
                <w:szCs w:val="24"/>
              </w:rPr>
              <w:t>本風險預告書係依據財團法人中華民國證券櫃檯買賣中心（以下簡稱櫃檯中心）</w:t>
            </w:r>
            <w:proofErr w:type="gramStart"/>
            <w:r w:rsidRPr="00D5245D">
              <w:rPr>
                <w:rFonts w:ascii="Times New Roman" w:eastAsia="標楷體" w:hAnsi="Times New Roman" w:hint="eastAsia"/>
                <w:szCs w:val="24"/>
              </w:rPr>
              <w:t>興櫃股票</w:t>
            </w:r>
            <w:proofErr w:type="gramEnd"/>
            <w:r w:rsidRPr="00D5245D">
              <w:rPr>
                <w:rFonts w:ascii="Times New Roman" w:eastAsia="標楷體" w:hAnsi="Times New Roman" w:hint="eastAsia"/>
                <w:szCs w:val="24"/>
              </w:rPr>
              <w:t>買賣辦法第十五條規定訂定之。</w:t>
            </w:r>
          </w:p>
          <w:p w14:paraId="5E280699" w14:textId="77777777" w:rsidR="00387C07" w:rsidRPr="00D5245D" w:rsidRDefault="00387C07" w:rsidP="00EB62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Chars="-10" w:hangingChars="10" w:hanging="24"/>
              <w:jc w:val="both"/>
              <w:rPr>
                <w:rFonts w:ascii="Times New Roman" w:eastAsia="標楷體" w:hAnsi="Times New Roman"/>
                <w:szCs w:val="24"/>
              </w:rPr>
            </w:pPr>
            <w:r w:rsidRPr="00D5245D"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 w:rsidRPr="00D5245D">
              <w:rPr>
                <w:rFonts w:ascii="Times New Roman" w:eastAsia="標楷體" w:hAnsi="Times New Roman" w:hint="eastAsia"/>
                <w:szCs w:val="24"/>
              </w:rPr>
              <w:t>證券商營業處所買賣有價證券管理辦法修正後，櫃檯買賣股票區分為上櫃股票</w:t>
            </w:r>
            <w:proofErr w:type="gramStart"/>
            <w:r w:rsidRPr="00D5245D">
              <w:rPr>
                <w:rFonts w:ascii="Times New Roman" w:eastAsia="標楷體" w:hAnsi="Times New Roman" w:hint="eastAsia"/>
                <w:szCs w:val="24"/>
              </w:rPr>
              <w:t>與興櫃股票</w:t>
            </w:r>
            <w:proofErr w:type="gramEnd"/>
            <w:r w:rsidRPr="00D5245D">
              <w:rPr>
                <w:rFonts w:ascii="Times New Roman" w:eastAsia="標楷體" w:hAnsi="Times New Roman" w:hint="eastAsia"/>
                <w:szCs w:val="24"/>
              </w:rPr>
              <w:t>二種</w:t>
            </w:r>
            <w:r w:rsidRPr="00D5245D">
              <w:rPr>
                <w:rFonts w:ascii="Times New Roman" w:eastAsia="標楷體" w:hAnsi="Times New Roman" w:hint="eastAsia"/>
                <w:color w:val="FF0000"/>
                <w:szCs w:val="24"/>
                <w:u w:val="single"/>
              </w:rPr>
              <w:t>，其中興櫃股票又區分為「一般板」及「戰略新板」</w:t>
            </w:r>
            <w:r w:rsidRPr="00D5245D">
              <w:rPr>
                <w:rFonts w:ascii="Times New Roman" w:eastAsia="標楷體" w:hAnsi="Times New Roman" w:hint="eastAsia"/>
                <w:szCs w:val="24"/>
              </w:rPr>
              <w:t>。</w:t>
            </w:r>
            <w:proofErr w:type="gramStart"/>
            <w:r w:rsidRPr="00D5245D">
              <w:rPr>
                <w:rFonts w:ascii="Times New Roman" w:eastAsia="標楷體" w:hAnsi="Times New Roman" w:hint="eastAsia"/>
                <w:szCs w:val="24"/>
              </w:rPr>
              <w:t>興櫃股票</w:t>
            </w:r>
            <w:proofErr w:type="gramEnd"/>
            <w:r w:rsidRPr="00D5245D">
              <w:rPr>
                <w:rFonts w:ascii="Times New Roman" w:eastAsia="標楷體" w:hAnsi="Times New Roman" w:hint="eastAsia"/>
                <w:szCs w:val="24"/>
              </w:rPr>
              <w:t>此一制度係為提供未上市未上櫃股票交易管道，進而協助更多新興企業進入資本市場，登錄條件相對一般上櫃股票較為寬鬆，櫃檯中心僅接受登錄，不進行實質審查。　台端應審慎評估本身之財務能力與經濟狀況是否適於投資此種股票。在決定是否交易前，台端應特別考慮以下事宜：</w:t>
            </w:r>
          </w:p>
          <w:p w14:paraId="4091FE43" w14:textId="77777777" w:rsidR="00387C07" w:rsidRPr="00D5245D" w:rsidRDefault="00387C07" w:rsidP="00EB62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Chars="33" w:left="566" w:hangingChars="203" w:hanging="487"/>
              <w:jc w:val="both"/>
              <w:rPr>
                <w:rFonts w:ascii="Times New Roman" w:eastAsia="標楷體" w:hAnsi="Times New Roman"/>
                <w:szCs w:val="24"/>
              </w:rPr>
            </w:pPr>
            <w:r w:rsidRPr="00D5245D">
              <w:rPr>
                <w:rFonts w:ascii="Times New Roman" w:eastAsia="標楷體" w:hAnsi="Times New Roman" w:hint="eastAsia"/>
                <w:szCs w:val="24"/>
              </w:rPr>
              <w:t>一、</w:t>
            </w:r>
            <w:r w:rsidRPr="00D5245D">
              <w:rPr>
                <w:rFonts w:ascii="Times New Roman" w:eastAsia="標楷體" w:hAnsi="Times New Roman" w:hint="eastAsia"/>
                <w:color w:val="FF0000"/>
                <w:szCs w:val="24"/>
                <w:u w:val="single"/>
              </w:rPr>
              <w:t>一般板</w:t>
            </w:r>
            <w:r w:rsidRPr="00D5245D">
              <w:rPr>
                <w:rFonts w:ascii="Times New Roman" w:eastAsia="標楷體" w:hAnsi="Times New Roman" w:hint="eastAsia"/>
                <w:szCs w:val="24"/>
              </w:rPr>
              <w:t>股票之買賣係以自己之判斷為之。</w:t>
            </w:r>
          </w:p>
          <w:p w14:paraId="3BD432A5" w14:textId="77777777" w:rsidR="00387C07" w:rsidRPr="00D5245D" w:rsidRDefault="00387C07" w:rsidP="00EB62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Chars="33" w:left="566" w:hangingChars="203" w:hanging="487"/>
              <w:jc w:val="both"/>
              <w:rPr>
                <w:rFonts w:ascii="Times New Roman" w:eastAsia="標楷體" w:hAnsi="Times New Roman"/>
                <w:szCs w:val="24"/>
              </w:rPr>
            </w:pPr>
            <w:r w:rsidRPr="00D5245D">
              <w:rPr>
                <w:rFonts w:ascii="Times New Roman" w:eastAsia="標楷體" w:hAnsi="Times New Roman" w:hint="eastAsia"/>
                <w:szCs w:val="24"/>
              </w:rPr>
              <w:t>二、買賣</w:t>
            </w:r>
            <w:r w:rsidRPr="00D5245D">
              <w:rPr>
                <w:rFonts w:ascii="Times New Roman" w:eastAsia="標楷體" w:hAnsi="Times New Roman" w:hint="eastAsia"/>
                <w:color w:val="FF0000"/>
                <w:szCs w:val="24"/>
                <w:u w:val="single"/>
              </w:rPr>
              <w:t>一般板</w:t>
            </w:r>
            <w:r w:rsidRPr="00D5245D">
              <w:rPr>
                <w:rFonts w:ascii="Times New Roman" w:eastAsia="標楷體" w:hAnsi="Times New Roman" w:hint="eastAsia"/>
                <w:szCs w:val="24"/>
              </w:rPr>
              <w:t>股票前，已充分瞭解：</w:t>
            </w:r>
          </w:p>
          <w:p w14:paraId="56A7C9C5" w14:textId="77777777" w:rsidR="00387C07" w:rsidRPr="00D5245D" w:rsidRDefault="00387C07" w:rsidP="00EB62A6">
            <w:pPr>
              <w:numPr>
                <w:ilvl w:val="0"/>
                <w:numId w:val="1"/>
              </w:numPr>
              <w:spacing w:line="240" w:lineRule="auto"/>
              <w:ind w:firstLineChars="0"/>
              <w:rPr>
                <w:rFonts w:ascii="Times New Roman" w:eastAsia="標楷體" w:hAnsi="Times New Roman"/>
                <w:color w:val="FF0000"/>
                <w:szCs w:val="24"/>
                <w:u w:val="single"/>
              </w:rPr>
            </w:pPr>
            <w:r w:rsidRPr="00D5245D">
              <w:rPr>
                <w:rFonts w:ascii="Times New Roman" w:eastAsia="標楷體" w:hAnsi="Times New Roman" w:hint="eastAsia"/>
                <w:color w:val="FF0000"/>
                <w:szCs w:val="24"/>
                <w:u w:val="single"/>
              </w:rPr>
              <w:t>一般板</w:t>
            </w:r>
            <w:r w:rsidRPr="00D5245D">
              <w:rPr>
                <w:rFonts w:ascii="Times New Roman" w:eastAsia="標楷體" w:hAnsi="Times New Roman" w:hint="eastAsia"/>
                <w:szCs w:val="24"/>
              </w:rPr>
              <w:t>股票可能具有流通性較差及公司資</w:t>
            </w:r>
            <w:r w:rsidRPr="00D5245D">
              <w:rPr>
                <w:rFonts w:ascii="Times New Roman" w:eastAsia="標楷體" w:hAnsi="Times New Roman" w:hint="eastAsia"/>
                <w:szCs w:val="24"/>
              </w:rPr>
              <w:lastRenderedPageBreak/>
              <w:t>本額較小、設立時間較短等特性且無獲利能力之限制等條件之限制。</w:t>
            </w:r>
          </w:p>
          <w:p w14:paraId="7DF45EA2" w14:textId="77777777" w:rsidR="00387C07" w:rsidRPr="00D5245D" w:rsidRDefault="00387C07" w:rsidP="00EB62A6">
            <w:pPr>
              <w:widowControl/>
              <w:numPr>
                <w:ilvl w:val="0"/>
                <w:numId w:val="1"/>
              </w:numPr>
              <w:tabs>
                <w:tab w:val="left" w:pos="567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D5245D">
              <w:rPr>
                <w:rFonts w:ascii="Times New Roman" w:eastAsia="標楷體" w:hAnsi="Times New Roman" w:hint="eastAsia"/>
                <w:color w:val="FF0000"/>
                <w:szCs w:val="24"/>
                <w:u w:val="single"/>
              </w:rPr>
              <w:t>一般板</w:t>
            </w:r>
            <w:r w:rsidRPr="00D5245D">
              <w:rPr>
                <w:rFonts w:ascii="Times New Roman" w:eastAsia="標楷體" w:hAnsi="Times New Roman" w:hint="eastAsia"/>
                <w:szCs w:val="24"/>
              </w:rPr>
              <w:t>股票交易應委託證券經紀商與各該</w:t>
            </w:r>
            <w:r w:rsidRPr="00D5245D">
              <w:rPr>
                <w:rFonts w:ascii="Times New Roman" w:eastAsia="標楷體" w:hAnsi="Times New Roman" w:hint="eastAsia"/>
                <w:color w:val="FF0000"/>
                <w:szCs w:val="24"/>
                <w:u w:val="single"/>
              </w:rPr>
              <w:t>一般板</w:t>
            </w:r>
            <w:r w:rsidRPr="00D5245D">
              <w:rPr>
                <w:rFonts w:ascii="Times New Roman" w:eastAsia="標楷體" w:hAnsi="Times New Roman" w:hint="eastAsia"/>
                <w:szCs w:val="24"/>
              </w:rPr>
              <w:t>股票之推薦證券商議價買賣或委託證券經紀商在其營業處所與各該</w:t>
            </w:r>
            <w:r w:rsidRPr="00D5245D">
              <w:rPr>
                <w:rFonts w:ascii="Times New Roman" w:eastAsia="標楷體" w:hAnsi="Times New Roman" w:hint="eastAsia"/>
                <w:color w:val="FF0000"/>
                <w:szCs w:val="24"/>
                <w:u w:val="single"/>
              </w:rPr>
              <w:t>一般板</w:t>
            </w:r>
            <w:r w:rsidRPr="00D5245D">
              <w:rPr>
                <w:rFonts w:ascii="Times New Roman" w:eastAsia="標楷體" w:hAnsi="Times New Roman" w:hint="eastAsia"/>
                <w:szCs w:val="24"/>
              </w:rPr>
              <w:t>股票之推薦證券商議價買賣，但後者每筆交易之數量應在十萬股（含）以上或成交金額新台幣</w:t>
            </w:r>
            <w:r w:rsidRPr="00D5245D">
              <w:rPr>
                <w:rFonts w:ascii="Times New Roman" w:eastAsia="標楷體" w:hAnsi="Times New Roman" w:hint="eastAsia"/>
                <w:szCs w:val="24"/>
              </w:rPr>
              <w:t xml:space="preserve"> 500</w:t>
            </w:r>
            <w:r w:rsidRPr="00D5245D">
              <w:rPr>
                <w:rFonts w:ascii="Times New Roman" w:eastAsia="標楷體" w:hAnsi="Times New Roman" w:hint="eastAsia"/>
                <w:szCs w:val="24"/>
              </w:rPr>
              <w:t>萬元（含）以上，且需符合本</w:t>
            </w:r>
            <w:proofErr w:type="gramStart"/>
            <w:r w:rsidRPr="00D5245D">
              <w:rPr>
                <w:rFonts w:ascii="Times New Roman" w:eastAsia="標楷體" w:hAnsi="Times New Roman" w:hint="eastAsia"/>
                <w:szCs w:val="24"/>
              </w:rPr>
              <w:t>中心興櫃股票</w:t>
            </w:r>
            <w:proofErr w:type="gramEnd"/>
            <w:r w:rsidRPr="00D5245D">
              <w:rPr>
                <w:rFonts w:ascii="Times New Roman" w:eastAsia="標楷體" w:hAnsi="Times New Roman" w:hint="eastAsia"/>
                <w:szCs w:val="24"/>
              </w:rPr>
              <w:t>買賣辦法第二十二條第一項第二款第一目</w:t>
            </w:r>
            <w:r w:rsidRPr="00D5245D">
              <w:rPr>
                <w:rFonts w:ascii="Times New Roman" w:eastAsia="標楷體" w:hAnsi="Times New Roman" w:hint="eastAsia"/>
                <w:color w:val="FF0000"/>
                <w:szCs w:val="24"/>
                <w:u w:val="single"/>
              </w:rPr>
              <w:t>及第二項</w:t>
            </w:r>
            <w:r w:rsidRPr="00D5245D">
              <w:rPr>
                <w:rFonts w:ascii="Times New Roman" w:eastAsia="標楷體" w:hAnsi="Times New Roman" w:hint="eastAsia"/>
                <w:szCs w:val="24"/>
              </w:rPr>
              <w:t>規定之條件。</w:t>
            </w:r>
          </w:p>
          <w:p w14:paraId="22DF656A" w14:textId="77777777" w:rsidR="00387C07" w:rsidRPr="00D5245D" w:rsidRDefault="00387C07" w:rsidP="00EB62A6">
            <w:pPr>
              <w:widowControl/>
              <w:numPr>
                <w:ilvl w:val="0"/>
                <w:numId w:val="1"/>
              </w:numPr>
              <w:tabs>
                <w:tab w:val="left" w:pos="567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D5245D">
              <w:rPr>
                <w:rFonts w:ascii="Times New Roman" w:eastAsia="標楷體" w:hAnsi="Times New Roman" w:hint="eastAsia"/>
                <w:color w:val="FF0000"/>
                <w:szCs w:val="24"/>
                <w:u w:val="single"/>
              </w:rPr>
              <w:t>一般板</w:t>
            </w:r>
            <w:r w:rsidRPr="00D5245D">
              <w:rPr>
                <w:rFonts w:ascii="Times New Roman" w:eastAsia="標楷體" w:hAnsi="Times New Roman" w:hint="eastAsia"/>
                <w:szCs w:val="24"/>
              </w:rPr>
              <w:t>股票之議價交易程序、給付結算應盡之義務、錯帳、違約之處理及相關權利義務之規定。</w:t>
            </w:r>
          </w:p>
          <w:p w14:paraId="6F425105" w14:textId="77777777" w:rsidR="00387C07" w:rsidRPr="00D5245D" w:rsidRDefault="00387C07" w:rsidP="00EB62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Chars="33" w:left="566" w:hangingChars="203" w:hanging="487"/>
              <w:jc w:val="both"/>
              <w:rPr>
                <w:rFonts w:ascii="Times New Roman" w:eastAsia="標楷體" w:hAnsi="Times New Roman"/>
                <w:szCs w:val="24"/>
              </w:rPr>
            </w:pPr>
            <w:r w:rsidRPr="00D5245D">
              <w:rPr>
                <w:rFonts w:ascii="Times New Roman" w:eastAsia="標楷體" w:hAnsi="Times New Roman" w:hint="eastAsia"/>
                <w:szCs w:val="24"/>
              </w:rPr>
              <w:t>三、台端如欲買賣外國發行人發行之</w:t>
            </w:r>
            <w:r w:rsidRPr="00D5245D">
              <w:rPr>
                <w:rFonts w:ascii="Times New Roman" w:eastAsia="標楷體" w:hAnsi="Times New Roman" w:hint="eastAsia"/>
                <w:color w:val="FF0000"/>
                <w:szCs w:val="24"/>
                <w:u w:val="single"/>
              </w:rPr>
              <w:t>一般板</w:t>
            </w:r>
            <w:r w:rsidRPr="00D5245D">
              <w:rPr>
                <w:rFonts w:ascii="Times New Roman" w:eastAsia="標楷體" w:hAnsi="Times New Roman" w:hint="eastAsia"/>
                <w:szCs w:val="24"/>
              </w:rPr>
              <w:t>股票，應特別注意該種</w:t>
            </w:r>
            <w:r w:rsidRPr="00D5245D">
              <w:rPr>
                <w:rFonts w:ascii="Times New Roman" w:eastAsia="標楷體" w:hAnsi="Times New Roman" w:hint="eastAsia"/>
                <w:color w:val="FF0000"/>
                <w:szCs w:val="24"/>
                <w:u w:val="single"/>
              </w:rPr>
              <w:t>一般板</w:t>
            </w:r>
            <w:r w:rsidRPr="00D5245D">
              <w:rPr>
                <w:rFonts w:ascii="Times New Roman" w:eastAsia="標楷體" w:hAnsi="Times New Roman" w:hint="eastAsia"/>
                <w:szCs w:val="24"/>
              </w:rPr>
              <w:t>股票之發行公司註冊地在外國，可能存在營運地所屬國家政經環境變動、註冊地的法律變更及資訊揭露差異等風險因素。</w:t>
            </w:r>
          </w:p>
          <w:p w14:paraId="5E2B31E3" w14:textId="77777777" w:rsidR="00387C07" w:rsidRPr="00D5245D" w:rsidRDefault="00387C07" w:rsidP="00EB62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Chars="33" w:left="566" w:hangingChars="203" w:hanging="487"/>
              <w:jc w:val="both"/>
              <w:rPr>
                <w:rFonts w:ascii="Times New Roman" w:eastAsia="標楷體" w:hAnsi="Times New Roman"/>
                <w:szCs w:val="24"/>
              </w:rPr>
            </w:pPr>
            <w:r w:rsidRPr="00D5245D">
              <w:rPr>
                <w:rFonts w:ascii="Times New Roman" w:eastAsia="標楷體" w:hAnsi="Times New Roman" w:hint="eastAsia"/>
                <w:szCs w:val="24"/>
              </w:rPr>
              <w:t>四、</w:t>
            </w:r>
            <w:r w:rsidRPr="00D5245D">
              <w:rPr>
                <w:rFonts w:ascii="Times New Roman" w:eastAsia="標楷體" w:hAnsi="Times New Roman" w:hint="eastAsia"/>
                <w:color w:val="FF0000"/>
                <w:szCs w:val="24"/>
                <w:u w:val="single"/>
              </w:rPr>
              <w:t>一般板</w:t>
            </w:r>
            <w:r w:rsidRPr="00D5245D">
              <w:rPr>
                <w:rFonts w:ascii="Times New Roman" w:eastAsia="標楷體" w:hAnsi="Times New Roman" w:hint="eastAsia"/>
                <w:szCs w:val="24"/>
              </w:rPr>
              <w:t>股票簡稱前</w:t>
            </w:r>
            <w:r w:rsidRPr="00D5245D">
              <w:rPr>
                <w:rFonts w:ascii="Times New Roman" w:eastAsia="標楷體" w:hAnsi="Times New Roman" w:hint="eastAsia"/>
                <w:szCs w:val="24"/>
              </w:rPr>
              <w:t>10</w:t>
            </w:r>
            <w:r w:rsidRPr="00D5245D">
              <w:rPr>
                <w:rFonts w:ascii="Times New Roman" w:eastAsia="標楷體" w:hAnsi="Times New Roman" w:hint="eastAsia"/>
                <w:szCs w:val="24"/>
              </w:rPr>
              <w:t>位元組為公司名稱，末</w:t>
            </w:r>
            <w:r w:rsidRPr="00D5245D">
              <w:rPr>
                <w:rFonts w:ascii="Times New Roman" w:eastAsia="標楷體" w:hAnsi="Times New Roman" w:hint="eastAsia"/>
                <w:szCs w:val="24"/>
              </w:rPr>
              <w:t xml:space="preserve"> 6</w:t>
            </w:r>
            <w:r w:rsidRPr="00D5245D">
              <w:rPr>
                <w:rFonts w:ascii="Times New Roman" w:eastAsia="標楷體" w:hAnsi="Times New Roman" w:hint="eastAsia"/>
                <w:szCs w:val="24"/>
              </w:rPr>
              <w:t>位元組為屬性註記用，如位元組未用</w:t>
            </w:r>
            <w:proofErr w:type="gramStart"/>
            <w:r w:rsidRPr="00D5245D">
              <w:rPr>
                <w:rFonts w:ascii="Times New Roman" w:eastAsia="標楷體" w:hAnsi="Times New Roman" w:hint="eastAsia"/>
                <w:szCs w:val="24"/>
              </w:rPr>
              <w:t>滿者一律左靠</w:t>
            </w:r>
            <w:proofErr w:type="gramEnd"/>
            <w:r w:rsidRPr="00D5245D">
              <w:rPr>
                <w:rFonts w:ascii="Times New Roman" w:eastAsia="標楷體" w:hAnsi="Times New Roman" w:hint="eastAsia"/>
                <w:szCs w:val="24"/>
              </w:rPr>
              <w:lastRenderedPageBreak/>
              <w:t>顯示。當本國</w:t>
            </w:r>
            <w:r w:rsidRPr="00D5245D">
              <w:rPr>
                <w:rFonts w:ascii="Times New Roman" w:eastAsia="標楷體" w:hAnsi="Times New Roman" w:hint="eastAsia"/>
                <w:color w:val="FF0000"/>
                <w:szCs w:val="24"/>
                <w:u w:val="single"/>
              </w:rPr>
              <w:t>一般板</w:t>
            </w:r>
            <w:r w:rsidRPr="00D5245D">
              <w:rPr>
                <w:rFonts w:ascii="Times New Roman" w:eastAsia="標楷體" w:hAnsi="Times New Roman" w:hint="eastAsia"/>
                <w:szCs w:val="24"/>
              </w:rPr>
              <w:t>股票其簡稱於屬性部分出現「</w:t>
            </w:r>
            <w:r w:rsidRPr="00D5245D">
              <w:rPr>
                <w:rFonts w:ascii="Times New Roman" w:eastAsia="標楷體" w:hAnsi="Times New Roman" w:hint="eastAsia"/>
                <w:szCs w:val="24"/>
              </w:rPr>
              <w:t>*</w:t>
            </w:r>
            <w:r w:rsidRPr="00D5245D">
              <w:rPr>
                <w:rFonts w:ascii="Times New Roman" w:eastAsia="標楷體" w:hAnsi="Times New Roman" w:hint="eastAsia"/>
                <w:szCs w:val="24"/>
              </w:rPr>
              <w:t>」者，表示該股票每股面額非屬新臺幣</w:t>
            </w:r>
            <w:r w:rsidRPr="00D5245D">
              <w:rPr>
                <w:rFonts w:ascii="Times New Roman" w:eastAsia="標楷體" w:hAnsi="Times New Roman" w:hint="eastAsia"/>
                <w:szCs w:val="24"/>
              </w:rPr>
              <w:t>10</w:t>
            </w:r>
            <w:r w:rsidRPr="00D5245D">
              <w:rPr>
                <w:rFonts w:ascii="Times New Roman" w:eastAsia="標楷體" w:hAnsi="Times New Roman" w:hint="eastAsia"/>
                <w:szCs w:val="24"/>
              </w:rPr>
              <w:t>元；屬性部分無「</w:t>
            </w:r>
            <w:r w:rsidRPr="00D5245D">
              <w:rPr>
                <w:rFonts w:ascii="Times New Roman" w:eastAsia="標楷體" w:hAnsi="Times New Roman" w:hint="eastAsia"/>
                <w:szCs w:val="24"/>
              </w:rPr>
              <w:t>*</w:t>
            </w:r>
            <w:r w:rsidRPr="00D5245D">
              <w:rPr>
                <w:rFonts w:ascii="Times New Roman" w:eastAsia="標楷體" w:hAnsi="Times New Roman" w:hint="eastAsia"/>
                <w:szCs w:val="24"/>
              </w:rPr>
              <w:t>」者，表示該股票每股面額為新臺幣</w:t>
            </w:r>
            <w:r w:rsidRPr="00D5245D">
              <w:rPr>
                <w:rFonts w:ascii="Times New Roman" w:eastAsia="標楷體" w:hAnsi="Times New Roman" w:hint="eastAsia"/>
                <w:szCs w:val="24"/>
              </w:rPr>
              <w:t>10</w:t>
            </w:r>
            <w:r w:rsidRPr="00D5245D">
              <w:rPr>
                <w:rFonts w:ascii="Times New Roman" w:eastAsia="標楷體" w:hAnsi="Times New Roman" w:hint="eastAsia"/>
                <w:szCs w:val="24"/>
              </w:rPr>
              <w:t>元。另當外國發行人發行之</w:t>
            </w:r>
            <w:r w:rsidRPr="00D5245D">
              <w:rPr>
                <w:rFonts w:ascii="Times New Roman" w:eastAsia="標楷體" w:hAnsi="Times New Roman" w:hint="eastAsia"/>
                <w:color w:val="FF0000"/>
                <w:szCs w:val="24"/>
                <w:u w:val="single"/>
              </w:rPr>
              <w:t>一般板</w:t>
            </w:r>
            <w:r w:rsidRPr="00D5245D">
              <w:rPr>
                <w:rFonts w:ascii="Times New Roman" w:eastAsia="標楷體" w:hAnsi="Times New Roman" w:hint="eastAsia"/>
                <w:szCs w:val="24"/>
              </w:rPr>
              <w:t>股票其簡稱於屬性部分出現「</w:t>
            </w:r>
            <w:r w:rsidRPr="00D5245D">
              <w:rPr>
                <w:rFonts w:ascii="Times New Roman" w:eastAsia="標楷體" w:hAnsi="Times New Roman" w:hint="eastAsia"/>
                <w:szCs w:val="24"/>
              </w:rPr>
              <w:t>*-</w:t>
            </w:r>
            <w:r w:rsidRPr="00D5245D">
              <w:rPr>
                <w:rFonts w:ascii="Times New Roman" w:eastAsia="標楷體" w:hAnsi="Times New Roman" w:hint="eastAsia"/>
                <w:szCs w:val="24"/>
              </w:rPr>
              <w:t>註冊地簡稱」者，表示該股票為無面額或每股面額非屬新臺幣</w:t>
            </w:r>
            <w:r w:rsidRPr="00D5245D">
              <w:rPr>
                <w:rFonts w:ascii="Times New Roman" w:eastAsia="標楷體" w:hAnsi="Times New Roman" w:hint="eastAsia"/>
                <w:szCs w:val="24"/>
              </w:rPr>
              <w:t>10</w:t>
            </w:r>
            <w:r w:rsidRPr="00D5245D">
              <w:rPr>
                <w:rFonts w:ascii="Times New Roman" w:eastAsia="標楷體" w:hAnsi="Times New Roman" w:hint="eastAsia"/>
                <w:szCs w:val="24"/>
              </w:rPr>
              <w:t>元；當屬性部分出現「</w:t>
            </w:r>
            <w:r w:rsidRPr="00D5245D">
              <w:rPr>
                <w:rFonts w:ascii="Times New Roman" w:eastAsia="標楷體" w:hAnsi="Times New Roman" w:hint="eastAsia"/>
                <w:szCs w:val="24"/>
              </w:rPr>
              <w:t xml:space="preserve"> -</w:t>
            </w:r>
            <w:r w:rsidRPr="00D5245D">
              <w:rPr>
                <w:rFonts w:ascii="Times New Roman" w:eastAsia="標楷體" w:hAnsi="Times New Roman" w:hint="eastAsia"/>
                <w:szCs w:val="24"/>
              </w:rPr>
              <w:t>註冊地簡稱」者，表示該股票每股面額為新臺幣</w:t>
            </w:r>
            <w:r w:rsidRPr="00D5245D">
              <w:rPr>
                <w:rFonts w:ascii="Times New Roman" w:eastAsia="標楷體" w:hAnsi="Times New Roman" w:hint="eastAsia"/>
                <w:szCs w:val="24"/>
              </w:rPr>
              <w:t>10</w:t>
            </w:r>
            <w:r w:rsidRPr="00D5245D">
              <w:rPr>
                <w:rFonts w:ascii="Times New Roman" w:eastAsia="標楷體" w:hAnsi="Times New Roman" w:hint="eastAsia"/>
                <w:szCs w:val="24"/>
              </w:rPr>
              <w:t>元。</w:t>
            </w:r>
          </w:p>
          <w:p w14:paraId="3A25C215" w14:textId="77777777" w:rsidR="00387C07" w:rsidRPr="00D5245D" w:rsidRDefault="00387C07" w:rsidP="00EB62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Chars="-10" w:hangingChars="10" w:hanging="24"/>
              <w:jc w:val="both"/>
              <w:rPr>
                <w:rFonts w:ascii="Times New Roman" w:eastAsia="標楷體" w:hAnsi="Times New Roman"/>
                <w:szCs w:val="24"/>
              </w:rPr>
            </w:pPr>
            <w:r w:rsidRPr="00D5245D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bookmarkStart w:id="1" w:name="_Hlk57357454"/>
            <w:r w:rsidRPr="00D5245D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D5245D">
              <w:rPr>
                <w:rFonts w:ascii="Times New Roman" w:eastAsia="標楷體" w:hAnsi="Times New Roman" w:hint="eastAsia"/>
                <w:szCs w:val="24"/>
              </w:rPr>
              <w:t>本風險預告書之預告事項僅列舉大端，對於所有</w:t>
            </w:r>
            <w:r w:rsidRPr="00D5245D">
              <w:rPr>
                <w:rFonts w:ascii="Times New Roman" w:eastAsia="標楷體" w:hAnsi="Times New Roman" w:hint="eastAsia"/>
                <w:color w:val="FF0000"/>
                <w:szCs w:val="24"/>
                <w:u w:val="single"/>
              </w:rPr>
              <w:t>一般板</w:t>
            </w:r>
            <w:r w:rsidRPr="00D5245D">
              <w:rPr>
                <w:rFonts w:ascii="Times New Roman" w:eastAsia="標楷體" w:hAnsi="Times New Roman" w:hint="eastAsia"/>
                <w:szCs w:val="24"/>
              </w:rPr>
              <w:t>股票交易之風險及影響市場行情之因素無法一一詳述，　台端於交易前除須對本風險預告書詳加</w:t>
            </w:r>
            <w:proofErr w:type="gramStart"/>
            <w:r w:rsidRPr="00D5245D">
              <w:rPr>
                <w:rFonts w:ascii="Times New Roman" w:eastAsia="標楷體" w:hAnsi="Times New Roman" w:hint="eastAsia"/>
                <w:szCs w:val="24"/>
              </w:rPr>
              <w:t>研</w:t>
            </w:r>
            <w:proofErr w:type="gramEnd"/>
            <w:r w:rsidRPr="00D5245D">
              <w:rPr>
                <w:rFonts w:ascii="Times New Roman" w:eastAsia="標楷體" w:hAnsi="Times New Roman" w:hint="eastAsia"/>
                <w:szCs w:val="24"/>
              </w:rPr>
              <w:t>讀外，對其他可能之影響因素亦有所警覺，並確實作好財務規劃與風險評估。</w:t>
            </w:r>
            <w:bookmarkEnd w:id="1"/>
          </w:p>
          <w:p w14:paraId="559379B1" w14:textId="77777777" w:rsidR="00387C07" w:rsidRPr="00D5245D" w:rsidRDefault="00387C07" w:rsidP="00EB62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Chars="-10" w:hangingChars="10" w:hanging="24"/>
              <w:jc w:val="both"/>
              <w:rPr>
                <w:rFonts w:ascii="Times New Roman" w:eastAsia="標楷體" w:hAnsi="Times New Roman"/>
                <w:szCs w:val="24"/>
              </w:rPr>
            </w:pPr>
            <w:r w:rsidRPr="00D5245D"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 w:rsidRPr="00D5245D">
              <w:rPr>
                <w:rFonts w:ascii="Times New Roman" w:eastAsia="標楷體" w:hAnsi="Times New Roman" w:hint="eastAsia"/>
                <w:szCs w:val="24"/>
              </w:rPr>
              <w:t>本人（委託人）承諾投資櫃檯中心</w:t>
            </w:r>
            <w:r w:rsidRPr="00D5245D">
              <w:rPr>
                <w:rFonts w:ascii="Times New Roman" w:eastAsia="標楷體" w:hAnsi="Times New Roman" w:hint="eastAsia"/>
                <w:color w:val="FF0000"/>
                <w:szCs w:val="24"/>
                <w:u w:val="single"/>
              </w:rPr>
              <w:t>一般板</w:t>
            </w:r>
            <w:r w:rsidRPr="00D5245D">
              <w:rPr>
                <w:rFonts w:ascii="Times New Roman" w:eastAsia="標楷體" w:hAnsi="Times New Roman" w:hint="eastAsia"/>
                <w:szCs w:val="24"/>
              </w:rPr>
              <w:t>股票之風險應自行負責，且經</w:t>
            </w:r>
            <w:r w:rsidRPr="00D5245D">
              <w:rPr>
                <w:rFonts w:ascii="Times New Roman" w:eastAsia="標楷體" w:hAnsi="Times New Roman" w:hint="eastAsia"/>
                <w:szCs w:val="24"/>
              </w:rPr>
              <w:t>________</w:t>
            </w:r>
            <w:r w:rsidRPr="00D5245D">
              <w:rPr>
                <w:rFonts w:ascii="Times New Roman" w:eastAsia="標楷體" w:hAnsi="Times New Roman" w:hint="eastAsia"/>
                <w:szCs w:val="24"/>
              </w:rPr>
              <w:t>證券股份有限公司指派專人</w:t>
            </w:r>
            <w:r w:rsidRPr="00D5245D">
              <w:rPr>
                <w:rFonts w:ascii="Times New Roman" w:eastAsia="標楷體" w:hAnsi="Times New Roman" w:hint="eastAsia"/>
                <w:szCs w:val="24"/>
              </w:rPr>
              <w:t>________</w:t>
            </w:r>
            <w:r w:rsidRPr="00D5245D">
              <w:rPr>
                <w:rFonts w:ascii="Times New Roman" w:eastAsia="標楷體" w:hAnsi="Times New Roman" w:hint="eastAsia"/>
                <w:szCs w:val="24"/>
              </w:rPr>
              <w:t>解說，對交易上述</w:t>
            </w:r>
            <w:r w:rsidRPr="00D5245D">
              <w:rPr>
                <w:rFonts w:ascii="Times New Roman" w:eastAsia="標楷體" w:hAnsi="Times New Roman" w:hint="eastAsia"/>
                <w:color w:val="FF0000"/>
                <w:szCs w:val="24"/>
                <w:u w:val="single"/>
              </w:rPr>
              <w:t>一般板</w:t>
            </w:r>
            <w:r w:rsidRPr="00D5245D">
              <w:rPr>
                <w:rFonts w:ascii="Times New Roman" w:eastAsia="標楷體" w:hAnsi="Times New Roman" w:hint="eastAsia"/>
                <w:szCs w:val="24"/>
              </w:rPr>
              <w:t>股票之各類風險業已充分明瞭，並已收到風險預告書無誤，特此聲明。</w:t>
            </w:r>
          </w:p>
          <w:p w14:paraId="15B061E1" w14:textId="77777777" w:rsidR="00387C07" w:rsidRPr="00D5245D" w:rsidRDefault="00387C07" w:rsidP="00EB62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80" w:afterLines="50" w:after="180" w:line="240" w:lineRule="auto"/>
              <w:ind w:leftChars="-10" w:hangingChars="10" w:hanging="24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 w:rsidRPr="00D5245D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D5245D">
              <w:rPr>
                <w:rFonts w:ascii="Times New Roman" w:eastAsia="標楷體" w:hAnsi="Times New Roman" w:hint="eastAsia"/>
                <w:szCs w:val="24"/>
              </w:rPr>
              <w:t>以下未修正，略</w:t>
            </w:r>
            <w:r w:rsidRPr="00D5245D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3285" w:type="dxa"/>
            <w:shd w:val="clear" w:color="auto" w:fill="auto"/>
          </w:tcPr>
          <w:p w14:paraId="2AA7C1C4" w14:textId="77777777" w:rsidR="00387C07" w:rsidRPr="00D5245D" w:rsidRDefault="00387C07" w:rsidP="00EB62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Chars="-10" w:hangingChars="10" w:hanging="24"/>
              <w:jc w:val="both"/>
              <w:rPr>
                <w:rFonts w:ascii="Times New Roman" w:eastAsia="標楷體" w:hAnsi="Times New Roman" w:hint="eastAsia"/>
                <w:szCs w:val="24"/>
              </w:rPr>
            </w:pPr>
            <w:r w:rsidRPr="00D5245D">
              <w:rPr>
                <w:rFonts w:ascii="Times New Roman" w:eastAsia="標楷體" w:hAnsi="Times New Roman" w:hint="eastAsia"/>
                <w:szCs w:val="24"/>
              </w:rPr>
              <w:lastRenderedPageBreak/>
              <w:t xml:space="preserve">    </w:t>
            </w:r>
            <w:r w:rsidRPr="00D5245D">
              <w:rPr>
                <w:rFonts w:ascii="Times New Roman" w:eastAsia="標楷體" w:hAnsi="Times New Roman" w:hint="eastAsia"/>
                <w:szCs w:val="24"/>
              </w:rPr>
              <w:t>本風險預告書係依據財團法人中華民國證券櫃檯買賣中心（以下簡稱櫃檯中心）</w:t>
            </w:r>
            <w:proofErr w:type="gramStart"/>
            <w:r w:rsidRPr="00D5245D">
              <w:rPr>
                <w:rFonts w:ascii="Times New Roman" w:eastAsia="標楷體" w:hAnsi="Times New Roman" w:hint="eastAsia"/>
                <w:szCs w:val="24"/>
              </w:rPr>
              <w:t>興櫃股票</w:t>
            </w:r>
            <w:proofErr w:type="gramEnd"/>
            <w:r w:rsidRPr="00D5245D">
              <w:rPr>
                <w:rFonts w:ascii="Times New Roman" w:eastAsia="標楷體" w:hAnsi="Times New Roman" w:hint="eastAsia"/>
                <w:szCs w:val="24"/>
              </w:rPr>
              <w:t>買賣辦法第十五條規定訂定之。</w:t>
            </w:r>
          </w:p>
          <w:p w14:paraId="00C14B8E" w14:textId="77777777" w:rsidR="00387C07" w:rsidRPr="00D5245D" w:rsidRDefault="00387C07" w:rsidP="00EB62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Chars="-10" w:hangingChars="10" w:hanging="24"/>
              <w:jc w:val="both"/>
              <w:rPr>
                <w:rFonts w:ascii="Times New Roman" w:eastAsia="標楷體" w:hAnsi="Times New Roman" w:hint="eastAsia"/>
                <w:szCs w:val="24"/>
              </w:rPr>
            </w:pPr>
            <w:r w:rsidRPr="00D5245D"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 w:rsidRPr="00D5245D">
              <w:rPr>
                <w:rFonts w:ascii="Times New Roman" w:eastAsia="標楷體" w:hAnsi="Times New Roman" w:hint="eastAsia"/>
                <w:szCs w:val="24"/>
              </w:rPr>
              <w:t>證券商營業處所買賣有價證券管理辦法修正後，櫃檯買賣股票區分為上櫃股票</w:t>
            </w:r>
            <w:proofErr w:type="gramStart"/>
            <w:r w:rsidRPr="00D5245D">
              <w:rPr>
                <w:rFonts w:ascii="Times New Roman" w:eastAsia="標楷體" w:hAnsi="Times New Roman" w:hint="eastAsia"/>
                <w:szCs w:val="24"/>
              </w:rPr>
              <w:t>與興櫃股票</w:t>
            </w:r>
            <w:proofErr w:type="gramEnd"/>
            <w:r w:rsidRPr="00D5245D">
              <w:rPr>
                <w:rFonts w:ascii="Times New Roman" w:eastAsia="標楷體" w:hAnsi="Times New Roman" w:hint="eastAsia"/>
                <w:szCs w:val="24"/>
              </w:rPr>
              <w:t>二種。</w:t>
            </w:r>
            <w:proofErr w:type="gramStart"/>
            <w:r w:rsidRPr="00D5245D">
              <w:rPr>
                <w:rFonts w:ascii="Times New Roman" w:eastAsia="標楷體" w:hAnsi="Times New Roman" w:hint="eastAsia"/>
                <w:szCs w:val="24"/>
              </w:rPr>
              <w:t>興櫃股票</w:t>
            </w:r>
            <w:proofErr w:type="gramEnd"/>
            <w:r w:rsidRPr="00D5245D">
              <w:rPr>
                <w:rFonts w:ascii="Times New Roman" w:eastAsia="標楷體" w:hAnsi="Times New Roman" w:hint="eastAsia"/>
                <w:szCs w:val="24"/>
              </w:rPr>
              <w:t>此一制度係為提供未上市未上櫃股票交易管道，進而協助更多新興企業進入資本市場，登錄條件相對一般上櫃股票較為寬鬆，櫃檯中心僅接受登錄，不進行實質審查。　台端應審慎評估本身之財務能力與經濟狀況是否適於投資此種股票。在決定是否交易前，台端應特別考慮以下事宜：</w:t>
            </w:r>
          </w:p>
          <w:p w14:paraId="127C47C7" w14:textId="77777777" w:rsidR="00387C07" w:rsidRPr="00D5245D" w:rsidRDefault="00387C07" w:rsidP="00EB62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Chars="-10" w:hangingChars="10" w:hanging="24"/>
              <w:jc w:val="both"/>
              <w:rPr>
                <w:rFonts w:ascii="Times New Roman" w:eastAsia="標楷體" w:hAnsi="Times New Roman" w:hint="eastAsia"/>
                <w:szCs w:val="24"/>
              </w:rPr>
            </w:pPr>
          </w:p>
          <w:p w14:paraId="44DA51D2" w14:textId="77777777" w:rsidR="00387C07" w:rsidRPr="00D5245D" w:rsidRDefault="00387C07" w:rsidP="00EB62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Chars="33" w:left="566" w:hangingChars="203" w:hanging="487"/>
              <w:jc w:val="both"/>
              <w:rPr>
                <w:rFonts w:ascii="Times New Roman" w:eastAsia="標楷體" w:hAnsi="Times New Roman"/>
                <w:szCs w:val="24"/>
              </w:rPr>
            </w:pPr>
            <w:r w:rsidRPr="00D5245D">
              <w:rPr>
                <w:rFonts w:ascii="Times New Roman" w:eastAsia="標楷體" w:hAnsi="Times New Roman" w:hint="eastAsia"/>
                <w:szCs w:val="24"/>
              </w:rPr>
              <w:t>一、</w:t>
            </w:r>
            <w:proofErr w:type="gramStart"/>
            <w:r w:rsidRPr="00D5245D">
              <w:rPr>
                <w:rFonts w:ascii="Times New Roman" w:eastAsia="標楷體" w:hAnsi="Times New Roman" w:hint="eastAsia"/>
                <w:color w:val="FF0000"/>
                <w:szCs w:val="24"/>
                <w:u w:val="single"/>
              </w:rPr>
              <w:t>興櫃</w:t>
            </w:r>
            <w:r w:rsidRPr="00D5245D">
              <w:rPr>
                <w:rFonts w:ascii="Times New Roman" w:eastAsia="標楷體" w:hAnsi="Times New Roman" w:hint="eastAsia"/>
                <w:szCs w:val="24"/>
              </w:rPr>
              <w:t>股票</w:t>
            </w:r>
            <w:proofErr w:type="gramEnd"/>
            <w:r w:rsidRPr="00D5245D">
              <w:rPr>
                <w:rFonts w:ascii="Times New Roman" w:eastAsia="標楷體" w:hAnsi="Times New Roman" w:hint="eastAsia"/>
                <w:szCs w:val="24"/>
              </w:rPr>
              <w:t>之買賣係以自己之判斷為之。</w:t>
            </w:r>
          </w:p>
          <w:p w14:paraId="0681B0EF" w14:textId="77777777" w:rsidR="00387C07" w:rsidRPr="00D5245D" w:rsidRDefault="00387C07" w:rsidP="00EB62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Chars="33" w:left="566" w:hangingChars="203" w:hanging="487"/>
              <w:jc w:val="both"/>
              <w:rPr>
                <w:rFonts w:ascii="Times New Roman" w:eastAsia="標楷體" w:hAnsi="Times New Roman"/>
                <w:szCs w:val="24"/>
              </w:rPr>
            </w:pPr>
            <w:r w:rsidRPr="00D5245D">
              <w:rPr>
                <w:rFonts w:ascii="Times New Roman" w:eastAsia="標楷體" w:hAnsi="Times New Roman" w:hint="eastAsia"/>
                <w:szCs w:val="24"/>
              </w:rPr>
              <w:t>二、</w:t>
            </w:r>
            <w:proofErr w:type="gramStart"/>
            <w:r w:rsidRPr="00D5245D">
              <w:rPr>
                <w:rFonts w:ascii="Times New Roman" w:eastAsia="標楷體" w:hAnsi="Times New Roman" w:hint="eastAsia"/>
                <w:szCs w:val="24"/>
              </w:rPr>
              <w:t>買賣</w:t>
            </w:r>
            <w:r w:rsidRPr="00D5245D">
              <w:rPr>
                <w:rFonts w:ascii="Times New Roman" w:eastAsia="標楷體" w:hAnsi="Times New Roman" w:hint="eastAsia"/>
                <w:color w:val="FF0000"/>
                <w:szCs w:val="24"/>
                <w:u w:val="single"/>
              </w:rPr>
              <w:t>興櫃</w:t>
            </w:r>
            <w:r w:rsidRPr="00D5245D">
              <w:rPr>
                <w:rFonts w:ascii="Times New Roman" w:eastAsia="標楷體" w:hAnsi="Times New Roman" w:hint="eastAsia"/>
                <w:szCs w:val="24"/>
              </w:rPr>
              <w:t>股票</w:t>
            </w:r>
            <w:proofErr w:type="gramEnd"/>
            <w:r w:rsidRPr="00D5245D">
              <w:rPr>
                <w:rFonts w:ascii="Times New Roman" w:eastAsia="標楷體" w:hAnsi="Times New Roman" w:hint="eastAsia"/>
                <w:szCs w:val="24"/>
              </w:rPr>
              <w:t>前，已充分瞭解：</w:t>
            </w:r>
          </w:p>
          <w:p w14:paraId="386D6F21" w14:textId="77777777" w:rsidR="00387C07" w:rsidRPr="00D5245D" w:rsidRDefault="00387C07" w:rsidP="00EB62A6">
            <w:pPr>
              <w:widowControl/>
              <w:numPr>
                <w:ilvl w:val="0"/>
                <w:numId w:val="2"/>
              </w:numPr>
              <w:tabs>
                <w:tab w:val="left" w:pos="567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998" w:firstLineChars="0" w:hanging="567"/>
              <w:jc w:val="both"/>
              <w:rPr>
                <w:rFonts w:ascii="Times New Roman" w:eastAsia="標楷體" w:hAnsi="Times New Roman" w:hint="eastAsia"/>
                <w:szCs w:val="24"/>
              </w:rPr>
            </w:pPr>
            <w:proofErr w:type="gramStart"/>
            <w:r w:rsidRPr="00D5245D">
              <w:rPr>
                <w:rFonts w:ascii="Times New Roman" w:eastAsia="標楷體" w:hAnsi="Times New Roman" w:hint="eastAsia"/>
                <w:color w:val="FF0000"/>
                <w:szCs w:val="24"/>
                <w:u w:val="single"/>
              </w:rPr>
              <w:t>興櫃</w:t>
            </w:r>
            <w:r w:rsidRPr="00D5245D">
              <w:rPr>
                <w:rFonts w:ascii="Times New Roman" w:eastAsia="標楷體" w:hAnsi="Times New Roman" w:hint="eastAsia"/>
                <w:szCs w:val="24"/>
              </w:rPr>
              <w:t>股票</w:t>
            </w:r>
            <w:proofErr w:type="gramEnd"/>
            <w:r w:rsidRPr="00D5245D">
              <w:rPr>
                <w:rFonts w:ascii="Times New Roman" w:eastAsia="標楷體" w:hAnsi="Times New Roman" w:hint="eastAsia"/>
                <w:szCs w:val="24"/>
              </w:rPr>
              <w:t>可能具有流通性較差及公司資本</w:t>
            </w:r>
            <w:r w:rsidRPr="00D5245D">
              <w:rPr>
                <w:rFonts w:ascii="Times New Roman" w:eastAsia="標楷體" w:hAnsi="Times New Roman" w:hint="eastAsia"/>
                <w:szCs w:val="24"/>
              </w:rPr>
              <w:lastRenderedPageBreak/>
              <w:t>額較小、設立時間較短等特性且無獲利能力之限制等條件之限制。</w:t>
            </w:r>
          </w:p>
          <w:p w14:paraId="594D2891" w14:textId="77777777" w:rsidR="00387C07" w:rsidRPr="00D5245D" w:rsidRDefault="00387C07" w:rsidP="00EB62A6">
            <w:pPr>
              <w:widowControl/>
              <w:numPr>
                <w:ilvl w:val="0"/>
                <w:numId w:val="2"/>
              </w:numPr>
              <w:tabs>
                <w:tab w:val="left" w:pos="567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998" w:firstLineChars="0" w:hanging="567"/>
              <w:jc w:val="both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D5245D">
              <w:rPr>
                <w:rFonts w:ascii="Times New Roman" w:eastAsia="標楷體" w:hAnsi="Times New Roman" w:hint="eastAsia"/>
                <w:color w:val="FF0000"/>
                <w:szCs w:val="24"/>
                <w:u w:val="single"/>
              </w:rPr>
              <w:t>興櫃</w:t>
            </w:r>
            <w:r w:rsidRPr="00D5245D">
              <w:rPr>
                <w:rFonts w:ascii="Times New Roman" w:eastAsia="標楷體" w:hAnsi="Times New Roman" w:hint="eastAsia"/>
                <w:szCs w:val="24"/>
              </w:rPr>
              <w:t>股票</w:t>
            </w:r>
            <w:proofErr w:type="gramEnd"/>
            <w:r w:rsidRPr="00D5245D">
              <w:rPr>
                <w:rFonts w:ascii="Times New Roman" w:eastAsia="標楷體" w:hAnsi="Times New Roman" w:hint="eastAsia"/>
                <w:szCs w:val="24"/>
              </w:rPr>
              <w:t>交易應委託證券經紀商與各</w:t>
            </w:r>
            <w:proofErr w:type="gramStart"/>
            <w:r w:rsidRPr="00D5245D">
              <w:rPr>
                <w:rFonts w:ascii="Times New Roman" w:eastAsia="標楷體" w:hAnsi="Times New Roman" w:hint="eastAsia"/>
                <w:szCs w:val="24"/>
              </w:rPr>
              <w:t>該</w:t>
            </w:r>
            <w:r w:rsidRPr="00D5245D">
              <w:rPr>
                <w:rFonts w:ascii="Times New Roman" w:eastAsia="標楷體" w:hAnsi="Times New Roman" w:hint="eastAsia"/>
                <w:color w:val="FF0000"/>
                <w:szCs w:val="24"/>
                <w:u w:val="single"/>
              </w:rPr>
              <w:t>興櫃</w:t>
            </w:r>
            <w:proofErr w:type="gramEnd"/>
            <w:r w:rsidRPr="00D5245D">
              <w:rPr>
                <w:rFonts w:ascii="Times New Roman" w:eastAsia="標楷體" w:hAnsi="Times New Roman" w:hint="eastAsia"/>
                <w:szCs w:val="24"/>
              </w:rPr>
              <w:t>股票之推薦證券商議價買賣或委託證券經紀商在其營業處所與各</w:t>
            </w:r>
            <w:proofErr w:type="gramStart"/>
            <w:r w:rsidRPr="00D5245D">
              <w:rPr>
                <w:rFonts w:ascii="Times New Roman" w:eastAsia="標楷體" w:hAnsi="Times New Roman" w:hint="eastAsia"/>
                <w:szCs w:val="24"/>
              </w:rPr>
              <w:t>該</w:t>
            </w:r>
            <w:r w:rsidRPr="00D5245D">
              <w:rPr>
                <w:rFonts w:ascii="Times New Roman" w:eastAsia="標楷體" w:hAnsi="Times New Roman" w:hint="eastAsia"/>
                <w:color w:val="FF0000"/>
                <w:szCs w:val="24"/>
                <w:u w:val="single"/>
              </w:rPr>
              <w:t>興櫃</w:t>
            </w:r>
            <w:proofErr w:type="gramEnd"/>
            <w:r w:rsidRPr="00D5245D">
              <w:rPr>
                <w:rFonts w:ascii="Times New Roman" w:eastAsia="標楷體" w:hAnsi="Times New Roman" w:hint="eastAsia"/>
                <w:szCs w:val="24"/>
              </w:rPr>
              <w:t>股票之推薦證券商議價買賣，但後者每筆交易之數量應在十萬股（含）以上或成交金額新台幣</w:t>
            </w:r>
            <w:r w:rsidRPr="00D5245D">
              <w:rPr>
                <w:rFonts w:ascii="Times New Roman" w:eastAsia="標楷體" w:hAnsi="Times New Roman" w:hint="eastAsia"/>
                <w:szCs w:val="24"/>
              </w:rPr>
              <w:t xml:space="preserve"> 500</w:t>
            </w:r>
            <w:r w:rsidRPr="00D5245D">
              <w:rPr>
                <w:rFonts w:ascii="Times New Roman" w:eastAsia="標楷體" w:hAnsi="Times New Roman" w:hint="eastAsia"/>
                <w:szCs w:val="24"/>
              </w:rPr>
              <w:t>萬元（含）以上，且需符合本</w:t>
            </w:r>
            <w:proofErr w:type="gramStart"/>
            <w:r w:rsidRPr="00D5245D">
              <w:rPr>
                <w:rFonts w:ascii="Times New Roman" w:eastAsia="標楷體" w:hAnsi="Times New Roman" w:hint="eastAsia"/>
                <w:szCs w:val="24"/>
              </w:rPr>
              <w:t>中心興櫃股票</w:t>
            </w:r>
            <w:proofErr w:type="gramEnd"/>
            <w:r w:rsidRPr="00D5245D">
              <w:rPr>
                <w:rFonts w:ascii="Times New Roman" w:eastAsia="標楷體" w:hAnsi="Times New Roman" w:hint="eastAsia"/>
                <w:szCs w:val="24"/>
              </w:rPr>
              <w:t>買賣辦法第二十二條第一項第二款第一目規定之條件。</w:t>
            </w:r>
          </w:p>
          <w:p w14:paraId="001A2BE1" w14:textId="77777777" w:rsidR="00387C07" w:rsidRPr="00D5245D" w:rsidRDefault="00387C07" w:rsidP="00EB62A6">
            <w:pPr>
              <w:widowControl/>
              <w:numPr>
                <w:ilvl w:val="0"/>
                <w:numId w:val="2"/>
              </w:numPr>
              <w:tabs>
                <w:tab w:val="left" w:pos="567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998" w:firstLineChars="0" w:hanging="567"/>
              <w:jc w:val="both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D5245D">
              <w:rPr>
                <w:rFonts w:ascii="Times New Roman" w:eastAsia="標楷體" w:hAnsi="Times New Roman" w:hint="eastAsia"/>
                <w:color w:val="FF0000"/>
                <w:szCs w:val="24"/>
                <w:u w:val="single"/>
              </w:rPr>
              <w:t>興櫃</w:t>
            </w:r>
            <w:r w:rsidRPr="00D5245D">
              <w:rPr>
                <w:rFonts w:ascii="Times New Roman" w:eastAsia="標楷體" w:hAnsi="Times New Roman" w:hint="eastAsia"/>
                <w:szCs w:val="24"/>
              </w:rPr>
              <w:t>股票</w:t>
            </w:r>
            <w:proofErr w:type="gramEnd"/>
            <w:r w:rsidRPr="00D5245D">
              <w:rPr>
                <w:rFonts w:ascii="Times New Roman" w:eastAsia="標楷體" w:hAnsi="Times New Roman" w:hint="eastAsia"/>
                <w:szCs w:val="24"/>
              </w:rPr>
              <w:t>之議價交易程序、給付結算應盡之義務、錯帳、違約之處理及相關權利義務之規定。</w:t>
            </w:r>
          </w:p>
          <w:p w14:paraId="07120B1E" w14:textId="77777777" w:rsidR="00387C07" w:rsidRPr="00D5245D" w:rsidRDefault="00387C07" w:rsidP="00EB62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Chars="33" w:left="566" w:hangingChars="203" w:hanging="487"/>
              <w:jc w:val="both"/>
              <w:rPr>
                <w:rFonts w:ascii="Times New Roman" w:eastAsia="標楷體" w:hAnsi="Times New Roman"/>
                <w:szCs w:val="24"/>
              </w:rPr>
            </w:pPr>
            <w:r w:rsidRPr="00D5245D">
              <w:rPr>
                <w:rFonts w:ascii="Times New Roman" w:eastAsia="標楷體" w:hAnsi="Times New Roman" w:hint="eastAsia"/>
                <w:szCs w:val="24"/>
              </w:rPr>
              <w:t>三、台端如欲買賣外國發行人發行</w:t>
            </w:r>
            <w:proofErr w:type="gramStart"/>
            <w:r w:rsidRPr="00D5245D">
              <w:rPr>
                <w:rFonts w:ascii="Times New Roman" w:eastAsia="標楷體" w:hAnsi="Times New Roman" w:hint="eastAsia"/>
                <w:szCs w:val="24"/>
              </w:rPr>
              <w:t>之</w:t>
            </w:r>
            <w:r w:rsidRPr="00D5245D">
              <w:rPr>
                <w:rFonts w:ascii="Times New Roman" w:eastAsia="標楷體" w:hAnsi="Times New Roman" w:hint="eastAsia"/>
                <w:color w:val="FF0000"/>
                <w:szCs w:val="24"/>
                <w:u w:val="single"/>
              </w:rPr>
              <w:t>興櫃</w:t>
            </w:r>
            <w:proofErr w:type="gramEnd"/>
            <w:r w:rsidRPr="00D5245D">
              <w:rPr>
                <w:rFonts w:ascii="Times New Roman" w:eastAsia="標楷體" w:hAnsi="Times New Roman" w:hint="eastAsia"/>
                <w:szCs w:val="24"/>
              </w:rPr>
              <w:t>股票，應特別注意該</w:t>
            </w:r>
            <w:proofErr w:type="gramStart"/>
            <w:r w:rsidRPr="00D5245D">
              <w:rPr>
                <w:rFonts w:ascii="Times New Roman" w:eastAsia="標楷體" w:hAnsi="Times New Roman" w:hint="eastAsia"/>
                <w:szCs w:val="24"/>
              </w:rPr>
              <w:t>種</w:t>
            </w:r>
            <w:r w:rsidRPr="00D5245D">
              <w:rPr>
                <w:rFonts w:ascii="Times New Roman" w:eastAsia="標楷體" w:hAnsi="Times New Roman" w:hint="eastAsia"/>
                <w:color w:val="FF0000"/>
                <w:szCs w:val="24"/>
                <w:u w:val="single"/>
              </w:rPr>
              <w:t>興櫃</w:t>
            </w:r>
            <w:proofErr w:type="gramEnd"/>
            <w:r w:rsidRPr="00D5245D">
              <w:rPr>
                <w:rFonts w:ascii="Times New Roman" w:eastAsia="標楷體" w:hAnsi="Times New Roman" w:hint="eastAsia"/>
                <w:szCs w:val="24"/>
              </w:rPr>
              <w:t>股票之發行公司註冊地在外國，可能存在營運地所屬國家政經環境變動、註冊地的法律變更及資訊揭露差異等風險因素。</w:t>
            </w:r>
          </w:p>
          <w:p w14:paraId="5A41301A" w14:textId="77777777" w:rsidR="00387C07" w:rsidRPr="00D5245D" w:rsidRDefault="00387C07" w:rsidP="00EB62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Chars="33" w:left="566" w:hangingChars="203" w:hanging="487"/>
              <w:jc w:val="both"/>
              <w:rPr>
                <w:rFonts w:ascii="Times New Roman" w:eastAsia="標楷體" w:hAnsi="Times New Roman"/>
                <w:szCs w:val="24"/>
              </w:rPr>
            </w:pPr>
            <w:r w:rsidRPr="00D5245D">
              <w:rPr>
                <w:rFonts w:ascii="Times New Roman" w:eastAsia="標楷體" w:hAnsi="Times New Roman" w:hint="eastAsia"/>
                <w:szCs w:val="24"/>
              </w:rPr>
              <w:t>四、</w:t>
            </w:r>
            <w:proofErr w:type="gramStart"/>
            <w:r w:rsidRPr="00D5245D">
              <w:rPr>
                <w:rFonts w:ascii="Times New Roman" w:eastAsia="標楷體" w:hAnsi="Times New Roman" w:hint="eastAsia"/>
                <w:color w:val="FF0000"/>
                <w:szCs w:val="24"/>
                <w:u w:val="single"/>
              </w:rPr>
              <w:t>興櫃</w:t>
            </w:r>
            <w:r w:rsidRPr="00D5245D">
              <w:rPr>
                <w:rFonts w:ascii="Times New Roman" w:eastAsia="標楷體" w:hAnsi="Times New Roman" w:hint="eastAsia"/>
                <w:szCs w:val="24"/>
              </w:rPr>
              <w:t>股票</w:t>
            </w:r>
            <w:proofErr w:type="gramEnd"/>
            <w:r w:rsidRPr="00D5245D">
              <w:rPr>
                <w:rFonts w:ascii="Times New Roman" w:eastAsia="標楷體" w:hAnsi="Times New Roman" w:hint="eastAsia"/>
                <w:szCs w:val="24"/>
              </w:rPr>
              <w:t>簡稱前</w:t>
            </w:r>
            <w:r w:rsidRPr="00D5245D">
              <w:rPr>
                <w:rFonts w:ascii="Times New Roman" w:eastAsia="標楷體" w:hAnsi="Times New Roman" w:hint="eastAsia"/>
                <w:szCs w:val="24"/>
              </w:rPr>
              <w:t>10</w:t>
            </w:r>
            <w:r w:rsidRPr="00D5245D">
              <w:rPr>
                <w:rFonts w:ascii="Times New Roman" w:eastAsia="標楷體" w:hAnsi="Times New Roman" w:hint="eastAsia"/>
                <w:szCs w:val="24"/>
              </w:rPr>
              <w:t>位元組為公司名稱，末</w:t>
            </w:r>
            <w:r w:rsidRPr="00D5245D">
              <w:rPr>
                <w:rFonts w:ascii="Times New Roman" w:eastAsia="標楷體" w:hAnsi="Times New Roman" w:hint="eastAsia"/>
                <w:szCs w:val="24"/>
              </w:rPr>
              <w:t xml:space="preserve"> 6</w:t>
            </w:r>
            <w:r w:rsidRPr="00D5245D">
              <w:rPr>
                <w:rFonts w:ascii="Times New Roman" w:eastAsia="標楷體" w:hAnsi="Times New Roman" w:hint="eastAsia"/>
                <w:szCs w:val="24"/>
              </w:rPr>
              <w:t>位元組為屬性註記用，如位元組未用</w:t>
            </w:r>
            <w:proofErr w:type="gramStart"/>
            <w:r w:rsidRPr="00D5245D">
              <w:rPr>
                <w:rFonts w:ascii="Times New Roman" w:eastAsia="標楷體" w:hAnsi="Times New Roman" w:hint="eastAsia"/>
                <w:szCs w:val="24"/>
              </w:rPr>
              <w:t>滿者一律左靠</w:t>
            </w:r>
            <w:proofErr w:type="gramEnd"/>
            <w:r w:rsidRPr="00D5245D">
              <w:rPr>
                <w:rFonts w:ascii="Times New Roman" w:eastAsia="標楷體" w:hAnsi="Times New Roman" w:hint="eastAsia"/>
                <w:szCs w:val="24"/>
              </w:rPr>
              <w:t>顯</w:t>
            </w:r>
            <w:r w:rsidRPr="00D5245D">
              <w:rPr>
                <w:rFonts w:ascii="Times New Roman" w:eastAsia="標楷體" w:hAnsi="Times New Roman" w:hint="eastAsia"/>
                <w:szCs w:val="24"/>
              </w:rPr>
              <w:lastRenderedPageBreak/>
              <w:t>示。當</w:t>
            </w:r>
            <w:proofErr w:type="gramStart"/>
            <w:r w:rsidRPr="00D5245D">
              <w:rPr>
                <w:rFonts w:ascii="Times New Roman" w:eastAsia="標楷體" w:hAnsi="Times New Roman" w:hint="eastAsia"/>
                <w:szCs w:val="24"/>
              </w:rPr>
              <w:t>本國</w:t>
            </w:r>
            <w:r w:rsidRPr="00D5245D">
              <w:rPr>
                <w:rFonts w:ascii="Times New Roman" w:eastAsia="標楷體" w:hAnsi="Times New Roman" w:hint="eastAsia"/>
                <w:color w:val="FF0000"/>
                <w:szCs w:val="24"/>
                <w:u w:val="single"/>
              </w:rPr>
              <w:t>興櫃</w:t>
            </w:r>
            <w:r w:rsidRPr="00D5245D">
              <w:rPr>
                <w:rFonts w:ascii="Times New Roman" w:eastAsia="標楷體" w:hAnsi="Times New Roman" w:hint="eastAsia"/>
                <w:szCs w:val="24"/>
              </w:rPr>
              <w:t>股票</w:t>
            </w:r>
            <w:proofErr w:type="gramEnd"/>
            <w:r w:rsidRPr="00D5245D">
              <w:rPr>
                <w:rFonts w:ascii="Times New Roman" w:eastAsia="標楷體" w:hAnsi="Times New Roman" w:hint="eastAsia"/>
                <w:szCs w:val="24"/>
              </w:rPr>
              <w:t>其簡稱於屬性部分出現「</w:t>
            </w:r>
            <w:r w:rsidRPr="00D5245D">
              <w:rPr>
                <w:rFonts w:ascii="Times New Roman" w:eastAsia="標楷體" w:hAnsi="Times New Roman" w:hint="eastAsia"/>
                <w:szCs w:val="24"/>
              </w:rPr>
              <w:t>*</w:t>
            </w:r>
            <w:r w:rsidRPr="00D5245D">
              <w:rPr>
                <w:rFonts w:ascii="Times New Roman" w:eastAsia="標楷體" w:hAnsi="Times New Roman" w:hint="eastAsia"/>
                <w:szCs w:val="24"/>
              </w:rPr>
              <w:t>」者，表示該股票每股面額非屬新臺幣</w:t>
            </w:r>
            <w:r w:rsidRPr="00D5245D">
              <w:rPr>
                <w:rFonts w:ascii="Times New Roman" w:eastAsia="標楷體" w:hAnsi="Times New Roman" w:hint="eastAsia"/>
                <w:szCs w:val="24"/>
              </w:rPr>
              <w:t>10</w:t>
            </w:r>
            <w:r w:rsidRPr="00D5245D">
              <w:rPr>
                <w:rFonts w:ascii="Times New Roman" w:eastAsia="標楷體" w:hAnsi="Times New Roman" w:hint="eastAsia"/>
                <w:szCs w:val="24"/>
              </w:rPr>
              <w:t>元；屬性部分無「</w:t>
            </w:r>
            <w:r w:rsidRPr="00D5245D">
              <w:rPr>
                <w:rFonts w:ascii="Times New Roman" w:eastAsia="標楷體" w:hAnsi="Times New Roman" w:hint="eastAsia"/>
                <w:szCs w:val="24"/>
              </w:rPr>
              <w:t>*</w:t>
            </w:r>
            <w:r w:rsidRPr="00D5245D">
              <w:rPr>
                <w:rFonts w:ascii="Times New Roman" w:eastAsia="標楷體" w:hAnsi="Times New Roman" w:hint="eastAsia"/>
                <w:szCs w:val="24"/>
              </w:rPr>
              <w:t>」者，表示該股票每股面額為新臺幣</w:t>
            </w:r>
            <w:r w:rsidRPr="00D5245D">
              <w:rPr>
                <w:rFonts w:ascii="Times New Roman" w:eastAsia="標楷體" w:hAnsi="Times New Roman" w:hint="eastAsia"/>
                <w:szCs w:val="24"/>
              </w:rPr>
              <w:t>10</w:t>
            </w:r>
            <w:r w:rsidRPr="00D5245D">
              <w:rPr>
                <w:rFonts w:ascii="Times New Roman" w:eastAsia="標楷體" w:hAnsi="Times New Roman" w:hint="eastAsia"/>
                <w:szCs w:val="24"/>
              </w:rPr>
              <w:t>元。另當外國發行人發行</w:t>
            </w:r>
            <w:proofErr w:type="gramStart"/>
            <w:r w:rsidRPr="00D5245D">
              <w:rPr>
                <w:rFonts w:ascii="Times New Roman" w:eastAsia="標楷體" w:hAnsi="Times New Roman" w:hint="eastAsia"/>
                <w:szCs w:val="24"/>
              </w:rPr>
              <w:t>之</w:t>
            </w:r>
            <w:r w:rsidRPr="00D5245D">
              <w:rPr>
                <w:rFonts w:ascii="Times New Roman" w:eastAsia="標楷體" w:hAnsi="Times New Roman" w:hint="eastAsia"/>
                <w:color w:val="FF0000"/>
                <w:szCs w:val="24"/>
                <w:u w:val="single"/>
              </w:rPr>
              <w:t>興櫃</w:t>
            </w:r>
            <w:proofErr w:type="gramEnd"/>
            <w:r w:rsidRPr="00D5245D">
              <w:rPr>
                <w:rFonts w:ascii="Times New Roman" w:eastAsia="標楷體" w:hAnsi="Times New Roman" w:hint="eastAsia"/>
                <w:szCs w:val="24"/>
              </w:rPr>
              <w:t>股票其簡稱於屬性部分出現「</w:t>
            </w:r>
            <w:r w:rsidRPr="00D5245D">
              <w:rPr>
                <w:rFonts w:ascii="Times New Roman" w:eastAsia="標楷體" w:hAnsi="Times New Roman" w:hint="eastAsia"/>
                <w:szCs w:val="24"/>
              </w:rPr>
              <w:t>*-</w:t>
            </w:r>
            <w:r w:rsidRPr="00D5245D">
              <w:rPr>
                <w:rFonts w:ascii="Times New Roman" w:eastAsia="標楷體" w:hAnsi="Times New Roman" w:hint="eastAsia"/>
                <w:szCs w:val="24"/>
              </w:rPr>
              <w:t>註冊地簡稱」者，表示該股票為無面額或每股面額非屬新臺幣</w:t>
            </w:r>
            <w:r w:rsidRPr="00D5245D">
              <w:rPr>
                <w:rFonts w:ascii="Times New Roman" w:eastAsia="標楷體" w:hAnsi="Times New Roman" w:hint="eastAsia"/>
                <w:szCs w:val="24"/>
              </w:rPr>
              <w:t>10</w:t>
            </w:r>
            <w:r w:rsidRPr="00D5245D">
              <w:rPr>
                <w:rFonts w:ascii="Times New Roman" w:eastAsia="標楷體" w:hAnsi="Times New Roman" w:hint="eastAsia"/>
                <w:szCs w:val="24"/>
              </w:rPr>
              <w:t>元；當屬性部分出現「</w:t>
            </w:r>
            <w:r w:rsidRPr="00D5245D">
              <w:rPr>
                <w:rFonts w:ascii="Times New Roman" w:eastAsia="標楷體" w:hAnsi="Times New Roman" w:hint="eastAsia"/>
                <w:szCs w:val="24"/>
              </w:rPr>
              <w:t xml:space="preserve"> -</w:t>
            </w:r>
            <w:r w:rsidRPr="00D5245D">
              <w:rPr>
                <w:rFonts w:ascii="Times New Roman" w:eastAsia="標楷體" w:hAnsi="Times New Roman" w:hint="eastAsia"/>
                <w:szCs w:val="24"/>
              </w:rPr>
              <w:t>註冊地簡稱」者，表示該股票每股面額為新臺幣</w:t>
            </w:r>
            <w:r w:rsidRPr="00D5245D">
              <w:rPr>
                <w:rFonts w:ascii="Times New Roman" w:eastAsia="標楷體" w:hAnsi="Times New Roman" w:hint="eastAsia"/>
                <w:szCs w:val="24"/>
              </w:rPr>
              <w:t>10</w:t>
            </w:r>
            <w:r w:rsidRPr="00D5245D">
              <w:rPr>
                <w:rFonts w:ascii="Times New Roman" w:eastAsia="標楷體" w:hAnsi="Times New Roman" w:hint="eastAsia"/>
                <w:szCs w:val="24"/>
              </w:rPr>
              <w:t>元。</w:t>
            </w:r>
          </w:p>
          <w:p w14:paraId="11DF3220" w14:textId="77777777" w:rsidR="00387C07" w:rsidRPr="00D5245D" w:rsidRDefault="00387C07" w:rsidP="00EB62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Chars="33" w:left="566" w:hangingChars="203" w:hanging="487"/>
              <w:jc w:val="both"/>
              <w:rPr>
                <w:rFonts w:ascii="Times New Roman" w:eastAsia="標楷體" w:hAnsi="Times New Roman"/>
                <w:szCs w:val="24"/>
              </w:rPr>
            </w:pPr>
          </w:p>
          <w:p w14:paraId="3A92B444" w14:textId="77777777" w:rsidR="00387C07" w:rsidRPr="00D5245D" w:rsidRDefault="00387C07" w:rsidP="00EB62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Chars="-10" w:hangingChars="10" w:hanging="24"/>
              <w:jc w:val="both"/>
              <w:rPr>
                <w:rFonts w:ascii="Times New Roman" w:eastAsia="標楷體" w:hAnsi="Times New Roman"/>
                <w:szCs w:val="24"/>
              </w:rPr>
            </w:pPr>
            <w:r w:rsidRPr="00D5245D"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 w:rsidRPr="00D5245D">
              <w:rPr>
                <w:rFonts w:ascii="Times New Roman" w:eastAsia="標楷體" w:hAnsi="Times New Roman" w:hint="eastAsia"/>
                <w:szCs w:val="24"/>
              </w:rPr>
              <w:t>本風險預告書之預告事項僅列舉大端，對於</w:t>
            </w:r>
            <w:proofErr w:type="gramStart"/>
            <w:r w:rsidRPr="00D5245D">
              <w:rPr>
                <w:rFonts w:ascii="Times New Roman" w:eastAsia="標楷體" w:hAnsi="Times New Roman" w:hint="eastAsia"/>
                <w:szCs w:val="24"/>
              </w:rPr>
              <w:t>所有</w:t>
            </w:r>
            <w:r w:rsidRPr="00D5245D">
              <w:rPr>
                <w:rFonts w:ascii="Times New Roman" w:eastAsia="標楷體" w:hAnsi="Times New Roman" w:hint="eastAsia"/>
                <w:color w:val="FF0000"/>
                <w:szCs w:val="24"/>
                <w:u w:val="single"/>
              </w:rPr>
              <w:t>興櫃</w:t>
            </w:r>
            <w:r w:rsidRPr="00D5245D">
              <w:rPr>
                <w:rFonts w:ascii="Times New Roman" w:eastAsia="標楷體" w:hAnsi="Times New Roman" w:hint="eastAsia"/>
                <w:szCs w:val="24"/>
              </w:rPr>
              <w:t>股票</w:t>
            </w:r>
            <w:proofErr w:type="gramEnd"/>
            <w:r w:rsidRPr="00D5245D">
              <w:rPr>
                <w:rFonts w:ascii="Times New Roman" w:eastAsia="標楷體" w:hAnsi="Times New Roman" w:hint="eastAsia"/>
                <w:szCs w:val="24"/>
              </w:rPr>
              <w:t>交易之風險及影響市場行情之因素無法一一詳述，　台端於交易前除須對本風險預告書詳加</w:t>
            </w:r>
            <w:proofErr w:type="gramStart"/>
            <w:r w:rsidRPr="00D5245D">
              <w:rPr>
                <w:rFonts w:ascii="Times New Roman" w:eastAsia="標楷體" w:hAnsi="Times New Roman" w:hint="eastAsia"/>
                <w:szCs w:val="24"/>
              </w:rPr>
              <w:t>研</w:t>
            </w:r>
            <w:proofErr w:type="gramEnd"/>
            <w:r w:rsidRPr="00D5245D">
              <w:rPr>
                <w:rFonts w:ascii="Times New Roman" w:eastAsia="標楷體" w:hAnsi="Times New Roman" w:hint="eastAsia"/>
                <w:szCs w:val="24"/>
              </w:rPr>
              <w:t>讀外，對其他可能之影響因素亦有所警覺，並確實作好財務規劃與風險評估。</w:t>
            </w:r>
          </w:p>
          <w:p w14:paraId="291A68D9" w14:textId="77777777" w:rsidR="00387C07" w:rsidRPr="00D5245D" w:rsidRDefault="00387C07" w:rsidP="00EB62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Chars="-10" w:hangingChars="10" w:hanging="24"/>
              <w:jc w:val="both"/>
              <w:rPr>
                <w:rFonts w:ascii="Times New Roman" w:eastAsia="標楷體" w:hAnsi="Times New Roman"/>
                <w:szCs w:val="24"/>
              </w:rPr>
            </w:pPr>
            <w:r w:rsidRPr="00D5245D"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 w:rsidRPr="00D5245D">
              <w:rPr>
                <w:rFonts w:ascii="Times New Roman" w:eastAsia="標楷體" w:hAnsi="Times New Roman" w:hint="eastAsia"/>
                <w:szCs w:val="24"/>
              </w:rPr>
              <w:t>本人（委託人）承諾投資櫃檯</w:t>
            </w:r>
            <w:proofErr w:type="gramStart"/>
            <w:r w:rsidRPr="00D5245D">
              <w:rPr>
                <w:rFonts w:ascii="Times New Roman" w:eastAsia="標楷體" w:hAnsi="Times New Roman" w:hint="eastAsia"/>
                <w:szCs w:val="24"/>
              </w:rPr>
              <w:t>中心</w:t>
            </w:r>
            <w:r w:rsidRPr="00D5245D">
              <w:rPr>
                <w:rFonts w:ascii="Times New Roman" w:eastAsia="標楷體" w:hAnsi="Times New Roman" w:hint="eastAsia"/>
                <w:color w:val="FF0000"/>
                <w:szCs w:val="24"/>
                <w:u w:val="single"/>
              </w:rPr>
              <w:t>興櫃</w:t>
            </w:r>
            <w:r w:rsidRPr="00D5245D">
              <w:rPr>
                <w:rFonts w:ascii="Times New Roman" w:eastAsia="標楷體" w:hAnsi="Times New Roman" w:hint="eastAsia"/>
                <w:szCs w:val="24"/>
              </w:rPr>
              <w:t>股票</w:t>
            </w:r>
            <w:proofErr w:type="gramEnd"/>
            <w:r w:rsidRPr="00D5245D">
              <w:rPr>
                <w:rFonts w:ascii="Times New Roman" w:eastAsia="標楷體" w:hAnsi="Times New Roman" w:hint="eastAsia"/>
                <w:szCs w:val="24"/>
              </w:rPr>
              <w:t>之風險應自行負責，且經</w:t>
            </w:r>
            <w:r w:rsidRPr="00D5245D">
              <w:rPr>
                <w:rFonts w:ascii="Times New Roman" w:eastAsia="標楷體" w:hAnsi="Times New Roman" w:hint="eastAsia"/>
                <w:szCs w:val="24"/>
              </w:rPr>
              <w:t>________</w:t>
            </w:r>
            <w:r w:rsidRPr="00D5245D">
              <w:rPr>
                <w:rFonts w:ascii="Times New Roman" w:eastAsia="標楷體" w:hAnsi="Times New Roman" w:hint="eastAsia"/>
                <w:szCs w:val="24"/>
              </w:rPr>
              <w:t>證券股份有限公司指派專人</w:t>
            </w:r>
            <w:r w:rsidRPr="00D5245D">
              <w:rPr>
                <w:rFonts w:ascii="Times New Roman" w:eastAsia="標楷體" w:hAnsi="Times New Roman" w:hint="eastAsia"/>
                <w:szCs w:val="24"/>
              </w:rPr>
              <w:t>________</w:t>
            </w:r>
            <w:r w:rsidRPr="00D5245D">
              <w:rPr>
                <w:rFonts w:ascii="Times New Roman" w:eastAsia="標楷體" w:hAnsi="Times New Roman" w:hint="eastAsia"/>
                <w:szCs w:val="24"/>
              </w:rPr>
              <w:t>解說，對交易</w:t>
            </w:r>
            <w:proofErr w:type="gramStart"/>
            <w:r w:rsidRPr="00D5245D">
              <w:rPr>
                <w:rFonts w:ascii="Times New Roman" w:eastAsia="標楷體" w:hAnsi="Times New Roman" w:hint="eastAsia"/>
                <w:szCs w:val="24"/>
              </w:rPr>
              <w:t>上述</w:t>
            </w:r>
            <w:r w:rsidRPr="00D5245D">
              <w:rPr>
                <w:rFonts w:ascii="Times New Roman" w:eastAsia="標楷體" w:hAnsi="Times New Roman" w:hint="eastAsia"/>
                <w:color w:val="FF0000"/>
                <w:szCs w:val="24"/>
                <w:u w:val="single"/>
              </w:rPr>
              <w:t>興櫃</w:t>
            </w:r>
            <w:r w:rsidRPr="00D5245D">
              <w:rPr>
                <w:rFonts w:ascii="Times New Roman" w:eastAsia="標楷體" w:hAnsi="Times New Roman" w:hint="eastAsia"/>
                <w:szCs w:val="24"/>
              </w:rPr>
              <w:t>股票</w:t>
            </w:r>
            <w:proofErr w:type="gramEnd"/>
            <w:r w:rsidRPr="00D5245D">
              <w:rPr>
                <w:rFonts w:ascii="Times New Roman" w:eastAsia="標楷體" w:hAnsi="Times New Roman" w:hint="eastAsia"/>
                <w:szCs w:val="24"/>
              </w:rPr>
              <w:t>之各類風險業已充分明瞭，並已收到風險預告書無誤，特此聲明。</w:t>
            </w:r>
          </w:p>
          <w:p w14:paraId="753525FE" w14:textId="77777777" w:rsidR="00387C07" w:rsidRPr="00D5245D" w:rsidRDefault="00387C07" w:rsidP="00EB62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80" w:afterLines="50" w:after="180" w:line="240" w:lineRule="auto"/>
              <w:ind w:leftChars="-10" w:hangingChars="10" w:hanging="24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 w:rsidRPr="00D5245D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D5245D">
              <w:rPr>
                <w:rFonts w:ascii="Times New Roman" w:eastAsia="標楷體" w:hAnsi="Times New Roman" w:hint="eastAsia"/>
                <w:szCs w:val="24"/>
              </w:rPr>
              <w:t>以下未修正，略</w:t>
            </w:r>
            <w:r w:rsidRPr="00D5245D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2923" w:type="dxa"/>
            <w:shd w:val="clear" w:color="auto" w:fill="auto"/>
          </w:tcPr>
          <w:p w14:paraId="12FF8753" w14:textId="77777777" w:rsidR="00387C07" w:rsidRPr="00D5245D" w:rsidRDefault="00387C07" w:rsidP="00EB62A6">
            <w:pPr>
              <w:widowControl/>
              <w:tabs>
                <w:tab w:val="left" w:pos="235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D5245D">
              <w:rPr>
                <w:rFonts w:ascii="Times New Roman" w:eastAsia="標楷體" w:hAnsi="Times New Roman" w:hint="eastAsia"/>
                <w:szCs w:val="24"/>
              </w:rPr>
              <w:lastRenderedPageBreak/>
              <w:t>配合興櫃市場</w:t>
            </w:r>
            <w:proofErr w:type="gramEnd"/>
            <w:r w:rsidRPr="00D5245D">
              <w:rPr>
                <w:rFonts w:ascii="Times New Roman" w:eastAsia="標楷體" w:hAnsi="Times New Roman" w:hint="eastAsia"/>
                <w:szCs w:val="24"/>
              </w:rPr>
              <w:t>區分為一般板及戰略新板股票，本風險預告書為一般板適用，</w:t>
            </w:r>
            <w:proofErr w:type="gramStart"/>
            <w:r w:rsidRPr="00D5245D">
              <w:rPr>
                <w:rFonts w:ascii="Times New Roman" w:eastAsia="標楷體" w:hAnsi="Times New Roman" w:hint="eastAsia"/>
                <w:szCs w:val="24"/>
              </w:rPr>
              <w:t>爰酌作</w:t>
            </w:r>
            <w:proofErr w:type="gramEnd"/>
            <w:r w:rsidRPr="00D5245D">
              <w:rPr>
                <w:rFonts w:ascii="Times New Roman" w:eastAsia="標楷體" w:hAnsi="Times New Roman" w:hint="eastAsia"/>
                <w:szCs w:val="24"/>
              </w:rPr>
              <w:t>文字修正以資明確。</w:t>
            </w:r>
          </w:p>
          <w:p w14:paraId="6FF72CFA" w14:textId="77777777" w:rsidR="00387C07" w:rsidRPr="00D5245D" w:rsidRDefault="00387C07" w:rsidP="00EB62A6">
            <w:pPr>
              <w:widowControl/>
              <w:tabs>
                <w:tab w:val="left" w:pos="512"/>
                <w:tab w:val="left" w:pos="60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480" w:hangingChars="200" w:hanging="480"/>
              <w:jc w:val="both"/>
              <w:rPr>
                <w:rFonts w:ascii="Times New Roman" w:eastAsia="標楷體" w:hAnsi="Times New Roman" w:hint="eastAsia"/>
                <w:szCs w:val="24"/>
              </w:rPr>
            </w:pPr>
          </w:p>
          <w:p w14:paraId="78856B01" w14:textId="77777777" w:rsidR="00387C07" w:rsidRPr="00D5245D" w:rsidRDefault="00387C07" w:rsidP="00EB62A6">
            <w:pPr>
              <w:widowControl/>
              <w:tabs>
                <w:tab w:val="left" w:pos="512"/>
                <w:tab w:val="left" w:pos="60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480" w:hangingChars="200" w:hanging="480"/>
              <w:jc w:val="both"/>
              <w:rPr>
                <w:rFonts w:ascii="Times New Roman" w:eastAsia="標楷體" w:hAnsi="Times New Roman" w:hint="eastAsia"/>
                <w:szCs w:val="24"/>
              </w:rPr>
            </w:pPr>
          </w:p>
          <w:p w14:paraId="3166ECB1" w14:textId="77777777" w:rsidR="00387C07" w:rsidRPr="00D5245D" w:rsidRDefault="00387C07" w:rsidP="00EB62A6">
            <w:pPr>
              <w:widowControl/>
              <w:tabs>
                <w:tab w:val="left" w:pos="235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Chars="0" w:firstLine="0"/>
              <w:jc w:val="both"/>
              <w:rPr>
                <w:rFonts w:ascii="Times New Roman" w:eastAsia="標楷體" w:hAnsi="Times New Roman"/>
                <w:szCs w:val="24"/>
                <w:highlight w:val="green"/>
              </w:rPr>
            </w:pPr>
          </w:p>
        </w:tc>
      </w:tr>
    </w:tbl>
    <w:p w14:paraId="27B484E5" w14:textId="77777777" w:rsidR="00387C07" w:rsidRPr="00D5245D" w:rsidRDefault="00387C07" w:rsidP="00387C07">
      <w:pPr>
        <w:spacing w:line="240" w:lineRule="auto"/>
        <w:ind w:firstLineChars="0" w:firstLine="0"/>
        <w:rPr>
          <w:rFonts w:ascii="Cambria Math" w:eastAsia="華康仿宋體W4" w:hAnsi="Cambria Math" w:cs="Calibri Light"/>
        </w:rPr>
      </w:pPr>
    </w:p>
    <w:p w14:paraId="7F0EE6DE" w14:textId="2768FA9C" w:rsidR="005D2E78" w:rsidRDefault="00387C07" w:rsidP="00387C07">
      <w:pPr>
        <w:ind w:firstLineChars="0" w:firstLine="0"/>
      </w:pPr>
    </w:p>
    <w:sectPr w:rsidR="005D2E7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仿宋體W4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817681"/>
    <w:multiLevelType w:val="hybridMultilevel"/>
    <w:tmpl w:val="17708542"/>
    <w:lvl w:ilvl="0" w:tplc="1B7495AC">
      <w:start w:val="1"/>
      <w:numFmt w:val="taiwaneseCountingThousand"/>
      <w:lvlText w:val="(%1)"/>
      <w:lvlJc w:val="left"/>
      <w:pPr>
        <w:ind w:left="912" w:hanging="480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E056AFC"/>
    <w:multiLevelType w:val="hybridMultilevel"/>
    <w:tmpl w:val="58EA5DCC"/>
    <w:lvl w:ilvl="0" w:tplc="E048D348">
      <w:start w:val="1"/>
      <w:numFmt w:val="taiwaneseCountingThousand"/>
      <w:lvlText w:val="(%1)"/>
      <w:lvlJc w:val="left"/>
      <w:pPr>
        <w:ind w:left="912" w:hanging="480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C07"/>
    <w:rsid w:val="001A2EB2"/>
    <w:rsid w:val="00387C07"/>
    <w:rsid w:val="00F4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FDA9A"/>
  <w15:chartTrackingRefBased/>
  <w15:docId w15:val="{FB4B575C-44A4-4F70-8FC0-88EEC33A4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7C07"/>
    <w:pPr>
      <w:widowControl w:val="0"/>
      <w:spacing w:line="480" w:lineRule="exact"/>
      <w:ind w:firstLineChars="100" w:firstLine="10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87C07"/>
    <w:pPr>
      <w:keepNext/>
      <w:spacing w:before="180" w:after="180" w:line="720" w:lineRule="atLeast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87C07"/>
    <w:rPr>
      <w:rFonts w:ascii="Calibri Light" w:eastAsia="新細明體" w:hAnsi="Calibri Light" w:cs="Times New Roman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陳怡伶</dc:creator>
  <cp:keywords/>
  <dc:description/>
  <cp:lastModifiedBy>陳怡伶</cp:lastModifiedBy>
  <cp:revision>1</cp:revision>
  <dcterms:created xsi:type="dcterms:W3CDTF">2021-03-30T10:15:00Z</dcterms:created>
  <dcterms:modified xsi:type="dcterms:W3CDTF">2021-03-30T10:17:00Z</dcterms:modified>
</cp:coreProperties>
</file>