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A485" w14:textId="77777777" w:rsidR="00E22A85" w:rsidRPr="006C7A25" w:rsidRDefault="00E22A85" w:rsidP="00E22A85">
      <w:pPr>
        <w:ind w:firstLineChars="0" w:firstLine="0"/>
        <w:jc w:val="center"/>
        <w:rPr>
          <w:rFonts w:ascii="標楷體" w:eastAsia="標楷體" w:hAnsi="標楷體" w:cs="Calibri Light" w:hint="eastAsia"/>
          <w:bCs/>
          <w:sz w:val="36"/>
          <w:szCs w:val="32"/>
        </w:rPr>
      </w:pPr>
      <w:r w:rsidRPr="00D5245D">
        <w:rPr>
          <w:rFonts w:ascii="標楷體" w:eastAsia="標楷體" w:hAnsi="標楷體" w:cs="Calibri Light"/>
          <w:bCs/>
          <w:sz w:val="36"/>
          <w:szCs w:val="32"/>
        </w:rPr>
        <w:t>財團法人中華民國證券櫃檯買賣中心</w:t>
      </w:r>
    </w:p>
    <w:p w14:paraId="341E67D8" w14:textId="77777777" w:rsidR="00E22A85" w:rsidRPr="006C7A25" w:rsidRDefault="00E22A85" w:rsidP="00E22A85">
      <w:pPr>
        <w:keepNext/>
        <w:ind w:left="720" w:hangingChars="200" w:hanging="720"/>
        <w:jc w:val="center"/>
        <w:outlineLvl w:val="0"/>
        <w:rPr>
          <w:rFonts w:ascii="標楷體" w:eastAsia="標楷體" w:hAnsi="標楷體" w:cs="Calibri Light" w:hint="eastAsia"/>
          <w:bCs/>
          <w:sz w:val="36"/>
          <w:szCs w:val="32"/>
        </w:rPr>
      </w:pPr>
      <w:bookmarkStart w:id="0" w:name="_Toc65578331"/>
      <w:r w:rsidRPr="00D5245D">
        <w:rPr>
          <w:rFonts w:ascii="標楷體" w:eastAsia="標楷體" w:hAnsi="標楷體" w:cs="Calibri Light"/>
          <w:bCs/>
          <w:sz w:val="36"/>
          <w:szCs w:val="32"/>
        </w:rPr>
        <w:t>證券商櫃檯買賣業務服務費及設備使用費收費標準</w:t>
      </w:r>
      <w:bookmarkEnd w:id="0"/>
    </w:p>
    <w:p w14:paraId="0D82A808" w14:textId="77777777" w:rsidR="00E22A85" w:rsidRPr="00D5245D" w:rsidRDefault="00E22A85" w:rsidP="00E22A85">
      <w:pPr>
        <w:spacing w:afterLines="50" w:after="180"/>
        <w:ind w:firstLineChars="0" w:firstLine="0"/>
        <w:jc w:val="center"/>
        <w:rPr>
          <w:rFonts w:ascii="Times New Roman" w:eastAsia="標楷體" w:hAnsi="Times New Roman"/>
          <w:bCs/>
          <w:kern w:val="52"/>
          <w:sz w:val="36"/>
          <w:szCs w:val="32"/>
          <w:lang w:val="x-none" w:eastAsia="x-none"/>
        </w:rPr>
      </w:pPr>
      <w:r w:rsidRPr="00D5245D">
        <w:rPr>
          <w:rFonts w:ascii="標楷體" w:eastAsia="標楷體" w:hAnsi="標楷體" w:cs="Calibri Light"/>
          <w:bCs/>
          <w:sz w:val="36"/>
          <w:szCs w:val="32"/>
        </w:rPr>
        <w:t>第二點修正條文對照表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2781"/>
      </w:tblGrid>
      <w:tr w:rsidR="00E22A85" w:rsidRPr="00D5245D" w14:paraId="52A56B71" w14:textId="77777777" w:rsidTr="00E22A85">
        <w:trPr>
          <w:tblHeader/>
        </w:trPr>
        <w:tc>
          <w:tcPr>
            <w:tcW w:w="3285" w:type="dxa"/>
            <w:shd w:val="clear" w:color="auto" w:fill="auto"/>
          </w:tcPr>
          <w:p w14:paraId="6874F739" w14:textId="77777777" w:rsidR="00E22A85" w:rsidRPr="00D5245D" w:rsidRDefault="00E22A85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修正條文</w:t>
            </w:r>
          </w:p>
        </w:tc>
        <w:tc>
          <w:tcPr>
            <w:tcW w:w="3285" w:type="dxa"/>
            <w:shd w:val="clear" w:color="auto" w:fill="auto"/>
          </w:tcPr>
          <w:p w14:paraId="6A3D2803" w14:textId="77777777" w:rsidR="00E22A85" w:rsidRPr="00D5245D" w:rsidRDefault="00E22A85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現行條文</w:t>
            </w:r>
          </w:p>
        </w:tc>
        <w:tc>
          <w:tcPr>
            <w:tcW w:w="2781" w:type="dxa"/>
            <w:shd w:val="clear" w:color="auto" w:fill="auto"/>
          </w:tcPr>
          <w:p w14:paraId="4734E0EB" w14:textId="77777777" w:rsidR="00E22A85" w:rsidRPr="00D5245D" w:rsidRDefault="00E22A85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說明</w:t>
            </w:r>
          </w:p>
        </w:tc>
      </w:tr>
      <w:tr w:rsidR="00E22A85" w:rsidRPr="00D5245D" w14:paraId="770B1F5F" w14:textId="77777777" w:rsidTr="00E22A85">
        <w:tc>
          <w:tcPr>
            <w:tcW w:w="3285" w:type="dxa"/>
            <w:shd w:val="clear" w:color="auto" w:fill="auto"/>
          </w:tcPr>
          <w:p w14:paraId="2F17A040" w14:textId="77777777" w:rsidR="00E22A85" w:rsidRPr="00D5245D" w:rsidRDefault="00E22A85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5" w:hangingChars="177" w:hanging="425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二、櫃檯買賣證券商繳納業務服務費，依下列方式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每月計繳一次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：</w:t>
            </w:r>
          </w:p>
          <w:p w14:paraId="386B74B1" w14:textId="77777777" w:rsidR="00E22A85" w:rsidRPr="00D5245D" w:rsidRDefault="00E22A85" w:rsidP="00EB62A6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998" w:firstLineChars="0" w:hanging="56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經營櫃檯買賣經紀業務者，股票部分，按其每月買賣成交金額固定比率百分之零點零零五八五；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但興櫃</w:t>
            </w:r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一般</w:t>
            </w:r>
            <w:proofErr w:type="gramEnd"/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板</w:t>
            </w:r>
            <w:r w:rsidRPr="00D5245D">
              <w:rPr>
                <w:rFonts w:ascii="Times New Roman" w:eastAsia="標楷體" w:hAnsi="Times New Roman"/>
                <w:szCs w:val="24"/>
              </w:rPr>
              <w:t>股票及開放式基金受益憑證議價買賣部分，按其每月買賣成交金額固定比率百分之零點零零三二五計收。</w:t>
            </w:r>
          </w:p>
          <w:p w14:paraId="0D68820C" w14:textId="77777777" w:rsidR="00E22A85" w:rsidRPr="00D5245D" w:rsidRDefault="00E22A85" w:rsidP="00EB62A6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998" w:firstLineChars="0" w:hanging="56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經營櫃檯買賣自營業務或衍生性金融商品交易者，股票部分，按其每月買賣成交金額固定比率百分之零點零零五八五；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但興櫃</w:t>
            </w:r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一般</w:t>
            </w:r>
            <w:proofErr w:type="gramEnd"/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板</w:t>
            </w:r>
            <w:r w:rsidRPr="00D5245D">
              <w:rPr>
                <w:rFonts w:ascii="Times New Roman" w:eastAsia="標楷體" w:hAnsi="Times New Roman"/>
                <w:szCs w:val="24"/>
              </w:rPr>
              <w:t>股票及開放式基金受益憑證議價買賣部分，按其每月買賣成交金額固定比率百分之零點零零三二五計收；債券部分（包含受益證券、資產基礎證券及不動產資產信託受益證券），按其每月交易營業額之千萬分之五為上限；衍生性金融商品交易部分，按其當月</w:t>
            </w:r>
            <w:r w:rsidRPr="00D5245D">
              <w:rPr>
                <w:rFonts w:ascii="Times New Roman" w:eastAsia="標楷體" w:hAnsi="Times New Roman"/>
                <w:szCs w:val="24"/>
              </w:rPr>
              <w:lastRenderedPageBreak/>
              <w:t>成交之契約名目本金總額百萬分之六計收。</w:t>
            </w:r>
          </w:p>
          <w:p w14:paraId="7D51AE5E" w14:textId="77777777" w:rsidR="00E22A85" w:rsidRPr="00D5245D" w:rsidRDefault="00E22A85" w:rsidP="00EB62A6">
            <w:pPr>
              <w:widowControl/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240" w:lineRule="auto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(</w:t>
            </w:r>
            <w:r w:rsidRPr="00D5245D">
              <w:rPr>
                <w:rFonts w:ascii="Times New Roman" w:eastAsia="標楷體" w:hAnsi="Times New Roman"/>
                <w:szCs w:val="24"/>
              </w:rPr>
              <w:t>以下未修正，略</w:t>
            </w:r>
            <w:r w:rsidRPr="00D5245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419B4C33" w14:textId="77777777" w:rsidR="00E22A85" w:rsidRPr="00D5245D" w:rsidRDefault="00E22A85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5" w:hangingChars="177" w:hanging="425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lastRenderedPageBreak/>
              <w:t>二、櫃檯買賣證券商繳納業務服務費，依下列方式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每月計繳一次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：</w:t>
            </w:r>
          </w:p>
          <w:p w14:paraId="7DC72AB3" w14:textId="77777777" w:rsidR="00E22A85" w:rsidRPr="00D5245D" w:rsidRDefault="00E22A85" w:rsidP="00EB62A6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經營櫃檯買賣經紀業務者，股票部分，按其每月買賣成交金額固定比率百分之零點零零五八五；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但興櫃股票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及開放式基金受益憑證議價買賣部分，按其每月買賣成交金額固定比率百分之零點零零三二五計收。</w:t>
            </w:r>
          </w:p>
          <w:p w14:paraId="5CBDFDA0" w14:textId="77777777" w:rsidR="00E22A85" w:rsidRPr="00D5245D" w:rsidRDefault="00E22A85" w:rsidP="00EB62A6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998" w:firstLineChars="0" w:hanging="56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經營櫃檯買賣自營業務或衍生性金融商品交易者，股票部分，按其每月買賣成交金額固定比率百分之零點零零五八五；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但興櫃股票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及開放式基金受益憑證議價買賣部分，按其每月買賣成交金額固定比率百分之零點零零三二五計收；債券部分（包含受益證券、資產基礎證券及不動產資產信託受益證券），按其每月交易營業額之千萬分之五為上限；衍生性金融商品交易部分，按其當月成交之</w:t>
            </w:r>
            <w:r w:rsidRPr="00D5245D">
              <w:rPr>
                <w:rFonts w:ascii="Times New Roman" w:eastAsia="標楷體" w:hAnsi="Times New Roman"/>
                <w:szCs w:val="24"/>
              </w:rPr>
              <w:lastRenderedPageBreak/>
              <w:t>契約名目本金總額百萬分之六計收。</w:t>
            </w:r>
          </w:p>
          <w:p w14:paraId="7FB7D2D7" w14:textId="77777777" w:rsidR="00E22A85" w:rsidRPr="00D5245D" w:rsidRDefault="00E22A85" w:rsidP="00EB62A6">
            <w:pPr>
              <w:widowControl/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998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A207BA4" w14:textId="77777777" w:rsidR="00E22A85" w:rsidRPr="00D5245D" w:rsidRDefault="00E22A85" w:rsidP="00EB62A6">
            <w:pPr>
              <w:widowControl/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240" w:lineRule="auto"/>
              <w:ind w:firstLineChars="0" w:firstLine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(</w:t>
            </w:r>
            <w:r w:rsidRPr="00D5245D">
              <w:rPr>
                <w:rFonts w:ascii="Times New Roman" w:eastAsia="標楷體" w:hAnsi="Times New Roman"/>
                <w:szCs w:val="24"/>
              </w:rPr>
              <w:t>以下未修正，略</w:t>
            </w:r>
            <w:r w:rsidRPr="00D5245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81" w:type="dxa"/>
            <w:shd w:val="clear" w:color="auto" w:fill="auto"/>
          </w:tcPr>
          <w:p w14:paraId="5B340E08" w14:textId="77777777" w:rsidR="00E22A85" w:rsidRPr="00D5245D" w:rsidRDefault="00E22A85" w:rsidP="00EB62A6">
            <w:pPr>
              <w:widowControl/>
              <w:tabs>
                <w:tab w:val="left" w:pos="512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lastRenderedPageBreak/>
              <w:t>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分為一般板及戰略新板，其中興櫃一般板股票業務服務費計算方式與其他股票不同，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爰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明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定興櫃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一般板股票之收費方式。戰略新板股票業務服務費與上櫃股票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相同收費方式。</w:t>
            </w:r>
          </w:p>
        </w:tc>
      </w:tr>
    </w:tbl>
    <w:p w14:paraId="6B6B5B40" w14:textId="77777777" w:rsidR="005D2E78" w:rsidRPr="00E22A85" w:rsidRDefault="00E22A85">
      <w:pPr>
        <w:ind w:firstLine="240"/>
      </w:pPr>
    </w:p>
    <w:sectPr w:rsidR="005D2E78" w:rsidRPr="00E22A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0E9C"/>
    <w:multiLevelType w:val="hybridMultilevel"/>
    <w:tmpl w:val="429A8EAC"/>
    <w:lvl w:ilvl="0" w:tplc="20B05D66">
      <w:start w:val="1"/>
      <w:numFmt w:val="taiwaneseCountingThousand"/>
      <w:lvlText w:val="(%1)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49E76CFE"/>
    <w:multiLevelType w:val="hybridMultilevel"/>
    <w:tmpl w:val="429A8EAC"/>
    <w:lvl w:ilvl="0" w:tplc="20B05D66">
      <w:start w:val="1"/>
      <w:numFmt w:val="taiwaneseCountingThousand"/>
      <w:lvlText w:val="(%1)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85"/>
    <w:rsid w:val="001A2EB2"/>
    <w:rsid w:val="00E22A85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2068"/>
  <w15:chartTrackingRefBased/>
  <w15:docId w15:val="{9CAE6F42-1812-4D6D-AF6E-B2C91A0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85"/>
    <w:pPr>
      <w:widowControl w:val="0"/>
      <w:spacing w:line="480" w:lineRule="exact"/>
      <w:ind w:firstLineChars="100" w:firstLine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陳怡伶</dc:creator>
  <cp:keywords/>
  <dc:description/>
  <cp:lastModifiedBy>陳怡伶</cp:lastModifiedBy>
  <cp:revision>1</cp:revision>
  <dcterms:created xsi:type="dcterms:W3CDTF">2021-03-30T10:27:00Z</dcterms:created>
  <dcterms:modified xsi:type="dcterms:W3CDTF">2021-03-30T10:27:00Z</dcterms:modified>
</cp:coreProperties>
</file>