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193AC" w14:textId="77777777" w:rsidR="007064F3" w:rsidRPr="006C7A25" w:rsidRDefault="007064F3" w:rsidP="007064F3">
      <w:pPr>
        <w:ind w:firstLineChars="0" w:firstLine="0"/>
        <w:jc w:val="center"/>
        <w:rPr>
          <w:rFonts w:ascii="Times New Roman" w:eastAsia="標楷體" w:hAnsi="Times New Roman" w:hint="eastAsia"/>
          <w:bCs/>
          <w:kern w:val="52"/>
          <w:sz w:val="36"/>
          <w:szCs w:val="36"/>
        </w:rPr>
      </w:pPr>
      <w:bookmarkStart w:id="0" w:name="_Toc57100694"/>
      <w:bookmarkStart w:id="1" w:name="_Toc57274299"/>
      <w:bookmarkStart w:id="2" w:name="_Toc58456137"/>
      <w:r w:rsidRPr="00D5245D">
        <w:rPr>
          <w:rFonts w:ascii="Times New Roman" w:eastAsia="標楷體" w:hAnsi="Times New Roman"/>
          <w:bCs/>
          <w:kern w:val="52"/>
          <w:sz w:val="36"/>
          <w:szCs w:val="36"/>
        </w:rPr>
        <w:t>財團法人中華民國證券櫃檯買賣中心</w:t>
      </w:r>
    </w:p>
    <w:p w14:paraId="6B8AE35B" w14:textId="77777777" w:rsidR="007064F3" w:rsidRPr="006C7A25" w:rsidRDefault="007064F3" w:rsidP="007064F3">
      <w:pPr>
        <w:keepNext/>
        <w:ind w:left="720" w:hangingChars="200" w:hanging="720"/>
        <w:jc w:val="center"/>
        <w:outlineLvl w:val="0"/>
        <w:rPr>
          <w:rFonts w:ascii="Times New Roman" w:eastAsia="標楷體" w:hAnsi="Times New Roman" w:hint="eastAsia"/>
          <w:bCs/>
          <w:kern w:val="52"/>
          <w:sz w:val="36"/>
          <w:szCs w:val="36"/>
        </w:rPr>
      </w:pPr>
      <w:bookmarkStart w:id="3" w:name="_Toc65578332"/>
      <w:r w:rsidRPr="00D5245D">
        <w:rPr>
          <w:rFonts w:ascii="Times New Roman" w:eastAsia="標楷體" w:hAnsi="Times New Roman"/>
          <w:bCs/>
          <w:kern w:val="52"/>
          <w:sz w:val="36"/>
          <w:szCs w:val="36"/>
        </w:rPr>
        <w:t>電腦交易系統與證券交易資訊</w:t>
      </w:r>
      <w:r w:rsidRPr="00D5245D">
        <w:rPr>
          <w:rFonts w:ascii="標楷體" w:eastAsia="標楷體" w:hAnsi="標楷體" w:cs="Calibri Light"/>
          <w:bCs/>
          <w:sz w:val="36"/>
          <w:szCs w:val="36"/>
        </w:rPr>
        <w:t>傳輸</w:t>
      </w:r>
      <w:r w:rsidRPr="00D5245D">
        <w:rPr>
          <w:rFonts w:ascii="Times New Roman" w:eastAsia="標楷體" w:hAnsi="Times New Roman"/>
          <w:bCs/>
          <w:kern w:val="52"/>
          <w:sz w:val="36"/>
          <w:szCs w:val="36"/>
        </w:rPr>
        <w:t>系統發生故障或中斷之處理措施</w:t>
      </w:r>
      <w:bookmarkEnd w:id="3"/>
    </w:p>
    <w:p w14:paraId="4A410AE6" w14:textId="77777777" w:rsidR="007064F3" w:rsidRPr="00D5245D" w:rsidRDefault="007064F3" w:rsidP="007064F3">
      <w:pPr>
        <w:spacing w:afterLines="50" w:after="180"/>
        <w:ind w:firstLineChars="0" w:firstLine="0"/>
        <w:jc w:val="center"/>
        <w:rPr>
          <w:rFonts w:ascii="Times New Roman" w:eastAsia="標楷體" w:hAnsi="Times New Roman"/>
          <w:bCs/>
          <w:kern w:val="52"/>
          <w:sz w:val="36"/>
          <w:szCs w:val="36"/>
        </w:rPr>
      </w:pPr>
      <w:r w:rsidRPr="00D5245D">
        <w:rPr>
          <w:rFonts w:ascii="Times New Roman" w:eastAsia="標楷體" w:hAnsi="Times New Roman"/>
          <w:bCs/>
          <w:kern w:val="52"/>
          <w:sz w:val="36"/>
          <w:szCs w:val="36"/>
        </w:rPr>
        <w:t>第二點修正條文對照表</w:t>
      </w:r>
      <w:bookmarkEnd w:id="0"/>
      <w:bookmarkEnd w:id="1"/>
      <w:bookmarkEnd w:id="2"/>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85"/>
        <w:gridCol w:w="3293"/>
        <w:gridCol w:w="2773"/>
      </w:tblGrid>
      <w:tr w:rsidR="007064F3" w:rsidRPr="00D5245D" w14:paraId="5AB7DE28" w14:textId="77777777" w:rsidTr="007064F3">
        <w:trPr>
          <w:tblHeader/>
        </w:trPr>
        <w:tc>
          <w:tcPr>
            <w:tcW w:w="3285" w:type="dxa"/>
            <w:shd w:val="clear" w:color="auto" w:fill="auto"/>
          </w:tcPr>
          <w:p w14:paraId="3C4C08AD" w14:textId="77777777" w:rsidR="007064F3" w:rsidRPr="00D5245D" w:rsidRDefault="007064F3" w:rsidP="00EB62A6">
            <w:pPr>
              <w:spacing w:line="240" w:lineRule="auto"/>
              <w:ind w:firstLineChars="0" w:firstLine="0"/>
              <w:jc w:val="center"/>
              <w:rPr>
                <w:rFonts w:ascii="Times New Roman" w:eastAsia="標楷體" w:hAnsi="Times New Roman"/>
              </w:rPr>
            </w:pPr>
            <w:bookmarkStart w:id="4" w:name="_Hlk57728430"/>
            <w:r w:rsidRPr="00D5245D">
              <w:rPr>
                <w:rFonts w:ascii="Times New Roman" w:eastAsia="標楷體" w:hAnsi="Times New Roman"/>
              </w:rPr>
              <w:t>修正條文</w:t>
            </w:r>
          </w:p>
        </w:tc>
        <w:tc>
          <w:tcPr>
            <w:tcW w:w="3293" w:type="dxa"/>
            <w:shd w:val="clear" w:color="auto" w:fill="auto"/>
          </w:tcPr>
          <w:p w14:paraId="4BF596A2" w14:textId="77777777" w:rsidR="007064F3" w:rsidRPr="00D5245D" w:rsidRDefault="007064F3" w:rsidP="00EB62A6">
            <w:pPr>
              <w:spacing w:line="240" w:lineRule="auto"/>
              <w:ind w:firstLineChars="0" w:firstLine="0"/>
              <w:jc w:val="center"/>
              <w:rPr>
                <w:rFonts w:ascii="Times New Roman" w:eastAsia="標楷體" w:hAnsi="Times New Roman"/>
              </w:rPr>
            </w:pPr>
            <w:r w:rsidRPr="00D5245D">
              <w:rPr>
                <w:rFonts w:ascii="Times New Roman" w:eastAsia="標楷體" w:hAnsi="Times New Roman"/>
              </w:rPr>
              <w:t>現行條文</w:t>
            </w:r>
          </w:p>
        </w:tc>
        <w:tc>
          <w:tcPr>
            <w:tcW w:w="2773" w:type="dxa"/>
            <w:shd w:val="clear" w:color="auto" w:fill="auto"/>
          </w:tcPr>
          <w:p w14:paraId="27A0B120" w14:textId="77777777" w:rsidR="007064F3" w:rsidRPr="00D5245D" w:rsidRDefault="007064F3" w:rsidP="00EB62A6">
            <w:pPr>
              <w:spacing w:line="240" w:lineRule="auto"/>
              <w:ind w:firstLineChars="0" w:firstLine="0"/>
              <w:jc w:val="center"/>
              <w:rPr>
                <w:rFonts w:ascii="Times New Roman" w:eastAsia="標楷體" w:hAnsi="Times New Roman"/>
              </w:rPr>
            </w:pPr>
            <w:r w:rsidRPr="00D5245D">
              <w:rPr>
                <w:rFonts w:ascii="Times New Roman" w:eastAsia="標楷體" w:hAnsi="Times New Roman"/>
              </w:rPr>
              <w:t>說明</w:t>
            </w:r>
          </w:p>
        </w:tc>
      </w:tr>
      <w:tr w:rsidR="007064F3" w:rsidRPr="00D5245D" w14:paraId="1A566621" w14:textId="77777777" w:rsidTr="007064F3">
        <w:tc>
          <w:tcPr>
            <w:tcW w:w="3285" w:type="dxa"/>
            <w:shd w:val="clear" w:color="auto" w:fill="auto"/>
          </w:tcPr>
          <w:p w14:paraId="5AD293F3" w14:textId="77777777" w:rsidR="007064F3" w:rsidRPr="00D5245D" w:rsidRDefault="007064F3"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5" w:hangingChars="177" w:hanging="425"/>
              <w:jc w:val="both"/>
              <w:rPr>
                <w:rFonts w:ascii="Times New Roman" w:eastAsia="標楷體" w:hAnsi="Times New Roman"/>
                <w:szCs w:val="24"/>
              </w:rPr>
            </w:pPr>
            <w:r w:rsidRPr="00D5245D">
              <w:rPr>
                <w:rFonts w:ascii="Times New Roman" w:eastAsia="標楷體" w:hAnsi="Times New Roman"/>
                <w:szCs w:val="24"/>
              </w:rPr>
              <w:t>二、本處理措施所稱電腦交易系統及證券交易資訊傳輸系統如</w:t>
            </w:r>
            <w:r w:rsidRPr="00D5245D">
              <w:rPr>
                <w:rFonts w:ascii="Times New Roman" w:eastAsia="標楷體" w:hAnsi="Times New Roman" w:hint="eastAsia"/>
                <w:color w:val="FF0000"/>
                <w:szCs w:val="24"/>
                <w:u w:val="single"/>
              </w:rPr>
              <w:t>下</w:t>
            </w:r>
            <w:r w:rsidRPr="00D5245D">
              <w:rPr>
                <w:rFonts w:ascii="Times New Roman" w:eastAsia="標楷體" w:hAnsi="Times New Roman"/>
                <w:szCs w:val="24"/>
              </w:rPr>
              <w:t>：</w:t>
            </w:r>
          </w:p>
          <w:p w14:paraId="5B82AEF0" w14:textId="77777777" w:rsidR="007064F3" w:rsidRPr="00D5245D" w:rsidRDefault="007064F3" w:rsidP="00EB62A6">
            <w:pPr>
              <w:widowControl/>
              <w:numPr>
                <w:ilvl w:val="0"/>
                <w:numId w:val="1"/>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8" w:firstLineChars="0" w:hanging="567"/>
              <w:jc w:val="both"/>
              <w:rPr>
                <w:rFonts w:ascii="Times New Roman" w:eastAsia="標楷體" w:hAnsi="Times New Roman"/>
                <w:szCs w:val="24"/>
              </w:rPr>
            </w:pPr>
            <w:r w:rsidRPr="00D5245D">
              <w:rPr>
                <w:rFonts w:ascii="Times New Roman" w:eastAsia="標楷體" w:hAnsi="Times New Roman"/>
                <w:szCs w:val="24"/>
              </w:rPr>
              <w:t>電腦交易系統：即本中心股票等價成交系統、債券等</w:t>
            </w:r>
            <w:proofErr w:type="gramStart"/>
            <w:r w:rsidRPr="00D5245D">
              <w:rPr>
                <w:rFonts w:ascii="Times New Roman" w:eastAsia="標楷體" w:hAnsi="Times New Roman"/>
                <w:szCs w:val="24"/>
              </w:rPr>
              <w:t>殖</w:t>
            </w:r>
            <w:proofErr w:type="gramEnd"/>
            <w:r w:rsidRPr="00D5245D">
              <w:rPr>
                <w:rFonts w:ascii="Times New Roman" w:eastAsia="標楷體" w:hAnsi="Times New Roman"/>
                <w:szCs w:val="24"/>
              </w:rPr>
              <w:t>成交系統及零股交易系統等。</w:t>
            </w:r>
          </w:p>
          <w:p w14:paraId="3F7E08FA" w14:textId="77777777" w:rsidR="007064F3" w:rsidRPr="00D5245D" w:rsidRDefault="007064F3" w:rsidP="00EB62A6">
            <w:pPr>
              <w:widowControl/>
              <w:numPr>
                <w:ilvl w:val="0"/>
                <w:numId w:val="1"/>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8" w:firstLineChars="0" w:hanging="567"/>
              <w:jc w:val="both"/>
              <w:rPr>
                <w:rFonts w:ascii="Times New Roman" w:eastAsia="標楷體" w:hAnsi="Times New Roman"/>
                <w:szCs w:val="24"/>
              </w:rPr>
            </w:pPr>
            <w:r w:rsidRPr="00D5245D">
              <w:rPr>
                <w:rFonts w:ascii="Times New Roman" w:eastAsia="標楷體" w:hAnsi="Times New Roman"/>
                <w:szCs w:val="24"/>
              </w:rPr>
              <w:t>交易資訊傳輸系統：即本中心證券商營業處所議價買賣成交資訊回報系統、</w:t>
            </w:r>
            <w:proofErr w:type="gramStart"/>
            <w:r w:rsidRPr="00D5245D">
              <w:rPr>
                <w:rFonts w:ascii="Times New Roman" w:eastAsia="標楷體" w:hAnsi="Times New Roman"/>
                <w:szCs w:val="24"/>
              </w:rPr>
              <w:t>興櫃</w:t>
            </w:r>
            <w:r w:rsidRPr="00D5245D">
              <w:rPr>
                <w:rFonts w:ascii="Times New Roman" w:eastAsia="標楷體" w:hAnsi="Times New Roman"/>
                <w:color w:val="FF0000"/>
                <w:szCs w:val="24"/>
                <w:u w:val="single"/>
              </w:rPr>
              <w:t>一般</w:t>
            </w:r>
            <w:proofErr w:type="gramEnd"/>
            <w:r w:rsidRPr="00D5245D">
              <w:rPr>
                <w:rFonts w:ascii="Times New Roman" w:eastAsia="標楷體" w:hAnsi="Times New Roman"/>
                <w:color w:val="FF0000"/>
                <w:szCs w:val="24"/>
                <w:u w:val="single"/>
              </w:rPr>
              <w:t>板</w:t>
            </w:r>
            <w:r w:rsidRPr="00D5245D">
              <w:rPr>
                <w:rFonts w:ascii="Times New Roman" w:eastAsia="標楷體" w:hAnsi="Times New Roman"/>
                <w:szCs w:val="24"/>
              </w:rPr>
              <w:t>股票（含開放式基金受益憑證及黃金現貨）資訊傳輸系統及依本中心櫃檯買賣有價證券交易資訊使用管理辦法第三條所訂定之證券交易資訊等。</w:t>
            </w:r>
          </w:p>
        </w:tc>
        <w:tc>
          <w:tcPr>
            <w:tcW w:w="3293" w:type="dxa"/>
            <w:shd w:val="clear" w:color="auto" w:fill="auto"/>
          </w:tcPr>
          <w:p w14:paraId="612B25DA" w14:textId="77777777" w:rsidR="007064F3" w:rsidRPr="00D5245D" w:rsidRDefault="007064F3"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5" w:hangingChars="177" w:hanging="425"/>
              <w:jc w:val="both"/>
              <w:rPr>
                <w:rFonts w:ascii="Times New Roman" w:eastAsia="標楷體" w:hAnsi="Times New Roman"/>
                <w:szCs w:val="24"/>
              </w:rPr>
            </w:pPr>
            <w:r w:rsidRPr="00D5245D">
              <w:rPr>
                <w:rFonts w:ascii="Times New Roman" w:eastAsia="標楷體" w:hAnsi="Times New Roman"/>
                <w:szCs w:val="24"/>
              </w:rPr>
              <w:t>二、本處理措施所稱電腦交易系統及證券交易資訊傳輸系統如</w:t>
            </w:r>
            <w:r w:rsidRPr="00D5245D">
              <w:rPr>
                <w:rFonts w:ascii="Times New Roman" w:eastAsia="標楷體" w:hAnsi="Times New Roman"/>
                <w:color w:val="FF0000"/>
                <w:szCs w:val="24"/>
                <w:u w:val="single"/>
              </w:rPr>
              <w:t>左</w:t>
            </w:r>
            <w:r w:rsidRPr="00D5245D">
              <w:rPr>
                <w:rFonts w:ascii="Times New Roman" w:eastAsia="標楷體" w:hAnsi="Times New Roman"/>
                <w:szCs w:val="24"/>
              </w:rPr>
              <w:t>：</w:t>
            </w:r>
          </w:p>
          <w:p w14:paraId="4F57FD87" w14:textId="77777777" w:rsidR="007064F3" w:rsidRPr="00D5245D" w:rsidRDefault="007064F3" w:rsidP="00EB62A6">
            <w:pPr>
              <w:widowControl/>
              <w:numPr>
                <w:ilvl w:val="0"/>
                <w:numId w:val="2"/>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8" w:firstLineChars="0" w:hanging="567"/>
              <w:jc w:val="both"/>
              <w:rPr>
                <w:rFonts w:ascii="Times New Roman" w:eastAsia="標楷體" w:hAnsi="Times New Roman"/>
                <w:szCs w:val="24"/>
              </w:rPr>
            </w:pPr>
            <w:r w:rsidRPr="00D5245D">
              <w:rPr>
                <w:rFonts w:ascii="Times New Roman" w:eastAsia="標楷體" w:hAnsi="Times New Roman"/>
                <w:szCs w:val="24"/>
              </w:rPr>
              <w:t>電腦交易系統：即本中心股票等價成交系統、債券等</w:t>
            </w:r>
            <w:proofErr w:type="gramStart"/>
            <w:r w:rsidRPr="00D5245D">
              <w:rPr>
                <w:rFonts w:ascii="Times New Roman" w:eastAsia="標楷體" w:hAnsi="Times New Roman"/>
                <w:szCs w:val="24"/>
              </w:rPr>
              <w:t>殖</w:t>
            </w:r>
            <w:proofErr w:type="gramEnd"/>
            <w:r w:rsidRPr="00D5245D">
              <w:rPr>
                <w:rFonts w:ascii="Times New Roman" w:eastAsia="標楷體" w:hAnsi="Times New Roman"/>
                <w:szCs w:val="24"/>
              </w:rPr>
              <w:t>成交系統及零股交易系統等。</w:t>
            </w:r>
          </w:p>
          <w:p w14:paraId="7DA5FC01" w14:textId="77777777" w:rsidR="007064F3" w:rsidRPr="00D5245D" w:rsidRDefault="007064F3" w:rsidP="00EB62A6">
            <w:pPr>
              <w:widowControl/>
              <w:numPr>
                <w:ilvl w:val="0"/>
                <w:numId w:val="2"/>
              </w:numPr>
              <w:tabs>
                <w:tab w:val="left" w:pos="567"/>
                <w:tab w:val="left" w:pos="96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8" w:firstLineChars="0" w:hanging="567"/>
              <w:jc w:val="both"/>
              <w:rPr>
                <w:rFonts w:ascii="Times New Roman" w:eastAsia="標楷體" w:hAnsi="Times New Roman"/>
                <w:color w:val="FF0000"/>
                <w:szCs w:val="24"/>
              </w:rPr>
            </w:pPr>
            <w:r w:rsidRPr="00D5245D">
              <w:rPr>
                <w:rFonts w:ascii="Times New Roman" w:eastAsia="標楷體" w:hAnsi="Times New Roman"/>
                <w:szCs w:val="24"/>
              </w:rPr>
              <w:t>交易資訊傳輸系統：即本中心證券商營業處所議價買賣成交資訊回報系統、</w:t>
            </w:r>
            <w:proofErr w:type="gramStart"/>
            <w:r w:rsidRPr="00D5245D">
              <w:rPr>
                <w:rFonts w:ascii="Times New Roman" w:eastAsia="標楷體" w:hAnsi="Times New Roman"/>
                <w:szCs w:val="24"/>
              </w:rPr>
              <w:t>興櫃股票</w:t>
            </w:r>
            <w:proofErr w:type="gramEnd"/>
            <w:r w:rsidRPr="00D5245D">
              <w:rPr>
                <w:rFonts w:ascii="Times New Roman" w:eastAsia="標楷體" w:hAnsi="Times New Roman"/>
                <w:szCs w:val="24"/>
              </w:rPr>
              <w:t>（含開放式基金受益憑證及黃金現貨）資訊傳輸系統及依本中心櫃檯買賣有價證券交易資訊使用管理辦法第三條所訂定之證券交易資訊等。</w:t>
            </w:r>
          </w:p>
        </w:tc>
        <w:tc>
          <w:tcPr>
            <w:tcW w:w="2773" w:type="dxa"/>
            <w:shd w:val="clear" w:color="auto" w:fill="auto"/>
          </w:tcPr>
          <w:p w14:paraId="63C1BC01" w14:textId="77777777" w:rsidR="007064F3" w:rsidRPr="00D5245D" w:rsidRDefault="007064F3" w:rsidP="00EB62A6">
            <w:pPr>
              <w:widowControl/>
              <w:tabs>
                <w:tab w:val="left" w:pos="512"/>
                <w:tab w:val="left" w:pos="6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szCs w:val="24"/>
              </w:rPr>
            </w:pPr>
            <w:proofErr w:type="gramStart"/>
            <w:r w:rsidRPr="00D5245D">
              <w:rPr>
                <w:rFonts w:ascii="Times New Roman" w:eastAsia="標楷體" w:hAnsi="Times New Roman" w:hint="eastAsia"/>
                <w:szCs w:val="24"/>
              </w:rPr>
              <w:t>配合興櫃股票</w:t>
            </w:r>
            <w:proofErr w:type="gramEnd"/>
            <w:r w:rsidRPr="00D5245D">
              <w:rPr>
                <w:rFonts w:ascii="Times New Roman" w:eastAsia="標楷體" w:hAnsi="Times New Roman" w:hint="eastAsia"/>
                <w:szCs w:val="24"/>
              </w:rPr>
              <w:t>分為一般板及戰略新板，明定第二</w:t>
            </w:r>
            <w:r>
              <w:rPr>
                <w:rFonts w:ascii="Times New Roman" w:eastAsia="標楷體" w:hAnsi="Times New Roman" w:hint="eastAsia"/>
                <w:szCs w:val="24"/>
              </w:rPr>
              <w:t>款</w:t>
            </w:r>
            <w:r w:rsidRPr="00D5245D">
              <w:rPr>
                <w:rFonts w:ascii="Times New Roman" w:eastAsia="標楷體" w:hAnsi="Times New Roman"/>
                <w:szCs w:val="24"/>
              </w:rPr>
              <w:t>交易資訊傳輸系統</w:t>
            </w:r>
            <w:proofErr w:type="gramStart"/>
            <w:r w:rsidRPr="00D5245D">
              <w:rPr>
                <w:rFonts w:ascii="Times New Roman" w:eastAsia="標楷體" w:hAnsi="Times New Roman" w:hint="eastAsia"/>
                <w:szCs w:val="24"/>
              </w:rPr>
              <w:t>之</w:t>
            </w:r>
            <w:r w:rsidRPr="00D5245D">
              <w:rPr>
                <w:rFonts w:ascii="Times New Roman" w:eastAsia="標楷體" w:hAnsi="Times New Roman"/>
                <w:szCs w:val="24"/>
              </w:rPr>
              <w:t>興櫃</w:t>
            </w:r>
            <w:proofErr w:type="gramEnd"/>
            <w:r w:rsidRPr="00D5245D">
              <w:rPr>
                <w:rFonts w:ascii="Times New Roman" w:eastAsia="標楷體" w:hAnsi="Times New Roman"/>
                <w:szCs w:val="24"/>
              </w:rPr>
              <w:t>股票</w:t>
            </w:r>
            <w:r w:rsidRPr="00D5245D">
              <w:rPr>
                <w:rFonts w:ascii="Times New Roman" w:eastAsia="標楷體" w:hAnsi="Times New Roman" w:hint="eastAsia"/>
                <w:szCs w:val="24"/>
              </w:rPr>
              <w:t>係</w:t>
            </w:r>
            <w:proofErr w:type="gramStart"/>
            <w:r w:rsidRPr="00D5245D">
              <w:rPr>
                <w:rFonts w:ascii="Times New Roman" w:eastAsia="標楷體" w:hAnsi="Times New Roman" w:hint="eastAsia"/>
                <w:szCs w:val="24"/>
              </w:rPr>
              <w:t>指</w:t>
            </w:r>
            <w:r w:rsidRPr="00D5245D">
              <w:rPr>
                <w:rFonts w:ascii="Times New Roman" w:eastAsia="標楷體" w:hAnsi="Times New Roman"/>
                <w:szCs w:val="24"/>
              </w:rPr>
              <w:t>興櫃一般</w:t>
            </w:r>
            <w:proofErr w:type="gramEnd"/>
            <w:r w:rsidRPr="00D5245D">
              <w:rPr>
                <w:rFonts w:ascii="Times New Roman" w:eastAsia="標楷體" w:hAnsi="Times New Roman"/>
                <w:szCs w:val="24"/>
              </w:rPr>
              <w:t>板股票。</w:t>
            </w:r>
          </w:p>
        </w:tc>
      </w:tr>
      <w:bookmarkEnd w:id="4"/>
    </w:tbl>
    <w:p w14:paraId="08202D14" w14:textId="004CD581" w:rsidR="005D2E78" w:rsidRDefault="007064F3" w:rsidP="007064F3">
      <w:pPr>
        <w:ind w:firstLineChars="0" w:firstLine="0"/>
      </w:pPr>
    </w:p>
    <w:sectPr w:rsidR="005D2E7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BF66D0"/>
    <w:multiLevelType w:val="hybridMultilevel"/>
    <w:tmpl w:val="429A8EAC"/>
    <w:lvl w:ilvl="0" w:tplc="20B05D66">
      <w:start w:val="1"/>
      <w:numFmt w:val="taiwaneseCountingThousand"/>
      <w:lvlText w:val="(%1)"/>
      <w:lvlJc w:val="left"/>
      <w:pPr>
        <w:ind w:left="912" w:hanging="480"/>
      </w:pPr>
      <w:rPr>
        <w:rFonts w:hint="eastAsia"/>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1" w15:restartNumberingAfterBreak="0">
    <w:nsid w:val="6E3538F1"/>
    <w:multiLevelType w:val="hybridMultilevel"/>
    <w:tmpl w:val="EA1CB172"/>
    <w:lvl w:ilvl="0" w:tplc="F3C8DEB2">
      <w:start w:val="1"/>
      <w:numFmt w:val="taiwaneseCountingThousand"/>
      <w:lvlText w:val="(%1)"/>
      <w:lvlJc w:val="left"/>
      <w:pPr>
        <w:ind w:left="912" w:hanging="480"/>
      </w:pPr>
      <w:rPr>
        <w:rFonts w:hint="eastAsia"/>
        <w:color w:val="auto"/>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F3"/>
    <w:rsid w:val="001A2EB2"/>
    <w:rsid w:val="007064F3"/>
    <w:rsid w:val="00F413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69978"/>
  <w15:chartTrackingRefBased/>
  <w15:docId w15:val="{FEA6E152-8D02-490B-AECD-99A87085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64F3"/>
    <w:pPr>
      <w:widowControl w:val="0"/>
      <w:spacing w:line="480" w:lineRule="exact"/>
      <w:ind w:firstLineChars="100" w:firstLine="10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陳怡伶</dc:creator>
  <cp:keywords/>
  <dc:description/>
  <cp:lastModifiedBy>陳怡伶</cp:lastModifiedBy>
  <cp:revision>1</cp:revision>
  <dcterms:created xsi:type="dcterms:W3CDTF">2021-03-30T10:28:00Z</dcterms:created>
  <dcterms:modified xsi:type="dcterms:W3CDTF">2021-03-30T10:28:00Z</dcterms:modified>
</cp:coreProperties>
</file>