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EFA0" w14:textId="77777777" w:rsidR="002A283C" w:rsidRPr="00930F26" w:rsidRDefault="002A283C" w:rsidP="002A283C">
      <w:pPr>
        <w:ind w:firstLineChars="0" w:firstLine="0"/>
        <w:jc w:val="center"/>
        <w:rPr>
          <w:rFonts w:ascii="標楷體" w:eastAsia="標楷體" w:hAnsi="標楷體" w:cs="Calibri Light" w:hint="eastAsia"/>
          <w:bCs/>
          <w:sz w:val="36"/>
          <w:szCs w:val="32"/>
        </w:rPr>
      </w:pPr>
      <w:bookmarkStart w:id="0" w:name="_Toc58456135"/>
      <w:r w:rsidRPr="00D5245D">
        <w:rPr>
          <w:rFonts w:ascii="標楷體" w:eastAsia="標楷體" w:hAnsi="標楷體" w:cs="Calibri Light"/>
          <w:bCs/>
          <w:sz w:val="36"/>
          <w:szCs w:val="32"/>
        </w:rPr>
        <w:t>財團法人</w:t>
      </w:r>
      <w:r w:rsidRPr="00D5245D">
        <w:rPr>
          <w:rFonts w:ascii="Times New Roman" w:eastAsia="標楷體" w:hAnsi="Times New Roman"/>
          <w:bCs/>
          <w:kern w:val="52"/>
          <w:sz w:val="36"/>
          <w:szCs w:val="32"/>
        </w:rPr>
        <w:t>中華民國</w:t>
      </w:r>
      <w:r w:rsidRPr="00D5245D">
        <w:rPr>
          <w:rFonts w:ascii="標楷體" w:eastAsia="標楷體" w:hAnsi="標楷體" w:cs="Calibri Light"/>
          <w:bCs/>
          <w:sz w:val="36"/>
          <w:szCs w:val="32"/>
        </w:rPr>
        <w:t>證券櫃檯買賣中心</w:t>
      </w:r>
    </w:p>
    <w:p w14:paraId="1F379AE7" w14:textId="77777777" w:rsidR="002A283C" w:rsidRPr="00930F26" w:rsidRDefault="002A283C" w:rsidP="002A283C">
      <w:pPr>
        <w:keepNext/>
        <w:ind w:left="720" w:hangingChars="200" w:hanging="720"/>
        <w:jc w:val="center"/>
        <w:outlineLvl w:val="0"/>
        <w:rPr>
          <w:rFonts w:ascii="標楷體" w:eastAsia="標楷體" w:hAnsi="標楷體" w:cs="Calibri Light" w:hint="eastAsia"/>
          <w:bCs/>
          <w:sz w:val="36"/>
          <w:szCs w:val="32"/>
        </w:rPr>
      </w:pPr>
      <w:bookmarkStart w:id="1" w:name="_Toc65578330"/>
      <w:r w:rsidRPr="00D5245D">
        <w:rPr>
          <w:rFonts w:ascii="標楷體" w:eastAsia="標楷體" w:hAnsi="標楷體" w:cs="Calibri Light"/>
          <w:bCs/>
          <w:sz w:val="36"/>
          <w:szCs w:val="32"/>
        </w:rPr>
        <w:t>黃金現貨登錄及買賣辦法</w:t>
      </w:r>
      <w:bookmarkEnd w:id="1"/>
    </w:p>
    <w:p w14:paraId="333E583A" w14:textId="77777777" w:rsidR="002A283C" w:rsidRPr="00D5245D" w:rsidRDefault="002A283C" w:rsidP="002A283C">
      <w:pPr>
        <w:spacing w:afterLines="50" w:after="180"/>
        <w:ind w:firstLineChars="0" w:firstLine="0"/>
        <w:jc w:val="center"/>
        <w:rPr>
          <w:rFonts w:ascii="標楷體" w:eastAsia="標楷體" w:hAnsi="標楷體" w:cs="Calibri Light"/>
          <w:bCs/>
          <w:sz w:val="36"/>
          <w:szCs w:val="32"/>
        </w:rPr>
      </w:pPr>
      <w:r w:rsidRPr="00D5245D">
        <w:rPr>
          <w:rFonts w:ascii="標楷體" w:eastAsia="標楷體" w:hAnsi="標楷體" w:cs="Calibri Light"/>
          <w:bCs/>
          <w:sz w:val="36"/>
          <w:szCs w:val="32"/>
        </w:rPr>
        <w:t>第三十六條</w:t>
      </w:r>
      <w:r w:rsidRPr="00D5245D">
        <w:rPr>
          <w:rFonts w:ascii="標楷體" w:eastAsia="標楷體" w:hAnsi="標楷體" w:cs="Calibri Light" w:hint="eastAsia"/>
          <w:bCs/>
          <w:sz w:val="36"/>
          <w:szCs w:val="32"/>
        </w:rPr>
        <w:t>、</w:t>
      </w:r>
      <w:r w:rsidRPr="00D5245D">
        <w:rPr>
          <w:rFonts w:ascii="標楷體" w:eastAsia="標楷體" w:hAnsi="標楷體" w:cs="Calibri Light"/>
          <w:bCs/>
          <w:sz w:val="36"/>
          <w:szCs w:val="32"/>
        </w:rPr>
        <w:t>第三十八條</w:t>
      </w:r>
      <w:r w:rsidRPr="00D5245D">
        <w:rPr>
          <w:rFonts w:ascii="標楷體" w:eastAsia="標楷體" w:hAnsi="標楷體" w:cs="Calibri Light" w:hint="eastAsia"/>
          <w:bCs/>
          <w:sz w:val="36"/>
          <w:szCs w:val="32"/>
        </w:rPr>
        <w:t>、第五十一條</w:t>
      </w:r>
      <w:r w:rsidRPr="00D5245D">
        <w:rPr>
          <w:rFonts w:ascii="標楷體" w:eastAsia="標楷體" w:hAnsi="標楷體" w:cs="Calibri Light"/>
          <w:bCs/>
          <w:sz w:val="36"/>
          <w:szCs w:val="32"/>
        </w:rPr>
        <w:t>修正條文對照表</w:t>
      </w:r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2781"/>
      </w:tblGrid>
      <w:tr w:rsidR="002A283C" w:rsidRPr="00D5245D" w14:paraId="4D13B79B" w14:textId="77777777" w:rsidTr="002A283C">
        <w:trPr>
          <w:tblHeader/>
        </w:trPr>
        <w:tc>
          <w:tcPr>
            <w:tcW w:w="3285" w:type="dxa"/>
            <w:shd w:val="clear" w:color="auto" w:fill="auto"/>
          </w:tcPr>
          <w:p w14:paraId="79CB6768" w14:textId="77777777" w:rsidR="002A283C" w:rsidRPr="00D5245D" w:rsidRDefault="002A283C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Times New Roman" w:eastAsia="標楷體" w:hAnsi="Times New Roman"/>
              </w:rPr>
              <w:t>修正條文</w:t>
            </w:r>
          </w:p>
        </w:tc>
        <w:tc>
          <w:tcPr>
            <w:tcW w:w="3285" w:type="dxa"/>
            <w:shd w:val="clear" w:color="auto" w:fill="auto"/>
          </w:tcPr>
          <w:p w14:paraId="0B4B05C8" w14:textId="77777777" w:rsidR="002A283C" w:rsidRPr="00D5245D" w:rsidRDefault="002A283C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Times New Roman" w:eastAsia="標楷體" w:hAnsi="Times New Roman"/>
              </w:rPr>
              <w:t>現行條文</w:t>
            </w:r>
          </w:p>
        </w:tc>
        <w:tc>
          <w:tcPr>
            <w:tcW w:w="2781" w:type="dxa"/>
            <w:shd w:val="clear" w:color="auto" w:fill="auto"/>
          </w:tcPr>
          <w:p w14:paraId="58298D04" w14:textId="77777777" w:rsidR="002A283C" w:rsidRPr="00D5245D" w:rsidRDefault="002A283C" w:rsidP="00EB62A6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/>
              </w:rPr>
            </w:pPr>
            <w:r w:rsidRPr="00D5245D">
              <w:rPr>
                <w:rFonts w:ascii="Times New Roman" w:eastAsia="標楷體" w:hAnsi="Times New Roman"/>
              </w:rPr>
              <w:t>說明</w:t>
            </w:r>
          </w:p>
        </w:tc>
      </w:tr>
      <w:tr w:rsidR="002A283C" w:rsidRPr="00D5245D" w14:paraId="7D368CC8" w14:textId="77777777" w:rsidTr="002A283C">
        <w:tc>
          <w:tcPr>
            <w:tcW w:w="3285" w:type="dxa"/>
            <w:shd w:val="clear" w:color="auto" w:fill="auto"/>
          </w:tcPr>
          <w:p w14:paraId="08779765" w14:textId="77777777" w:rsidR="002A283C" w:rsidRPr="00D5245D" w:rsidRDefault="002A283C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第三十六條</w:t>
            </w:r>
            <w:r w:rsidRPr="00D5245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5245D">
              <w:rPr>
                <w:rFonts w:ascii="Times New Roman" w:eastAsia="標楷體" w:hAnsi="Times New Roman"/>
                <w:szCs w:val="24"/>
              </w:rPr>
              <w:t>證券商使用電腦議價點選系統議價買賣黃金現貨者，應依集保結算所之規定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與興櫃</w:t>
            </w:r>
            <w:r w:rsidRPr="00D5245D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一般</w:t>
            </w:r>
            <w:proofErr w:type="gramEnd"/>
            <w:r w:rsidRPr="00D5245D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板</w:t>
            </w:r>
            <w:r w:rsidRPr="00D5245D">
              <w:rPr>
                <w:rFonts w:ascii="Times New Roman" w:eastAsia="標楷體" w:hAnsi="Times New Roman"/>
                <w:szCs w:val="24"/>
              </w:rPr>
              <w:t>股票合併完成給付結算。</w:t>
            </w:r>
          </w:p>
          <w:p w14:paraId="6EF7A840" w14:textId="77777777" w:rsidR="002A283C" w:rsidRPr="00D5245D" w:rsidRDefault="002A283C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afterLines="50" w:after="180" w:line="240" w:lineRule="auto"/>
              <w:ind w:leftChars="100" w:left="240"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以下未修正，略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14:paraId="2DFE7FAF" w14:textId="77777777" w:rsidR="002A283C" w:rsidRPr="00D5245D" w:rsidRDefault="002A283C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第三十六條</w:t>
            </w:r>
            <w:r w:rsidRPr="00D5245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5245D">
              <w:rPr>
                <w:rFonts w:ascii="Times New Roman" w:eastAsia="標楷體" w:hAnsi="Times New Roman"/>
                <w:szCs w:val="24"/>
              </w:rPr>
              <w:t>證券商使用電腦議價點選系統議價買賣黃金現貨者，應依集保結算所之規定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與興櫃股票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合併完成給付結算。</w:t>
            </w:r>
          </w:p>
          <w:p w14:paraId="17752DB9" w14:textId="77777777" w:rsidR="002A283C" w:rsidRPr="00D5245D" w:rsidRDefault="002A283C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afterLines="50" w:after="180" w:line="240" w:lineRule="auto"/>
              <w:ind w:leftChars="100" w:left="240" w:firstLineChars="200" w:firstLine="48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以下未修正，略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781" w:type="dxa"/>
            <w:shd w:val="clear" w:color="auto" w:fill="auto"/>
          </w:tcPr>
          <w:p w14:paraId="0567E12F" w14:textId="77777777" w:rsidR="002A283C" w:rsidRPr="00D5245D" w:rsidRDefault="002A283C" w:rsidP="00EB62A6">
            <w:pPr>
              <w:widowControl/>
              <w:tabs>
                <w:tab w:val="left" w:pos="512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配合興櫃股票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分為一般板及戰略新板，明定</w:t>
            </w:r>
            <w:r w:rsidRPr="00D5245D">
              <w:rPr>
                <w:rFonts w:ascii="Times New Roman" w:eastAsia="標楷體" w:hAnsi="Times New Roman"/>
                <w:szCs w:val="24"/>
              </w:rPr>
              <w:t>黃金現貨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與興櫃一般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板股票合併辦理給付結算，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爰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第一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項</w:t>
            </w:r>
            <w:r w:rsidRPr="00D5245D">
              <w:rPr>
                <w:rFonts w:ascii="Times New Roman" w:eastAsia="標楷體" w:hAnsi="Times New Roman"/>
                <w:szCs w:val="24"/>
              </w:rPr>
              <w:t>酌作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文字修正。</w:t>
            </w:r>
          </w:p>
        </w:tc>
      </w:tr>
      <w:tr w:rsidR="002A283C" w:rsidRPr="00D5245D" w14:paraId="2A2666AF" w14:textId="77777777" w:rsidTr="002A283C">
        <w:tc>
          <w:tcPr>
            <w:tcW w:w="3285" w:type="dxa"/>
            <w:shd w:val="clear" w:color="auto" w:fill="auto"/>
          </w:tcPr>
          <w:p w14:paraId="30C3C427" w14:textId="77777777" w:rsidR="002A283C" w:rsidRPr="00D5245D" w:rsidRDefault="002A283C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第三十八條</w:t>
            </w:r>
            <w:r w:rsidRPr="00D5245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5245D">
              <w:rPr>
                <w:rFonts w:ascii="Times New Roman" w:eastAsia="標楷體" w:hAnsi="Times New Roman"/>
                <w:szCs w:val="24"/>
              </w:rPr>
              <w:t>本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中心興櫃股票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買賣辦法第</w:t>
            </w:r>
            <w:r w:rsidRPr="00D5245D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二</w:t>
            </w:r>
            <w:r w:rsidRPr="00D5245D">
              <w:rPr>
                <w:rFonts w:ascii="Times New Roman" w:eastAsia="標楷體" w:hAnsi="Times New Roman"/>
                <w:szCs w:val="24"/>
              </w:rPr>
              <w:t>章</w:t>
            </w:r>
            <w:r w:rsidRPr="00D5245D">
              <w:rPr>
                <w:rFonts w:ascii="Times New Roman" w:eastAsia="標楷體" w:hAnsi="Times New Roman" w:hint="eastAsia"/>
                <w:color w:val="FF0000"/>
                <w:szCs w:val="24"/>
                <w:u w:val="single"/>
              </w:rPr>
              <w:t>第三節</w:t>
            </w:r>
            <w:r w:rsidRPr="00D5245D">
              <w:rPr>
                <w:rFonts w:ascii="Times New Roman" w:eastAsia="標楷體" w:hAnsi="Times New Roman"/>
                <w:szCs w:val="24"/>
              </w:rPr>
              <w:t>有關給付結算時點、違約處理等給付結算之規定，於黃金現貨之買賣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準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用之。</w:t>
            </w:r>
          </w:p>
        </w:tc>
        <w:tc>
          <w:tcPr>
            <w:tcW w:w="3285" w:type="dxa"/>
            <w:shd w:val="clear" w:color="auto" w:fill="auto"/>
          </w:tcPr>
          <w:p w14:paraId="6148CA6F" w14:textId="77777777" w:rsidR="002A283C" w:rsidRPr="00D5245D" w:rsidRDefault="002A283C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第三十八條</w:t>
            </w:r>
            <w:r w:rsidRPr="00D5245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5245D">
              <w:rPr>
                <w:rFonts w:ascii="Times New Roman" w:eastAsia="標楷體" w:hAnsi="Times New Roman"/>
                <w:szCs w:val="24"/>
              </w:rPr>
              <w:t>本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中心興櫃股票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買賣辦法第</w:t>
            </w:r>
            <w:r w:rsidRPr="00D5245D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四</w:t>
            </w:r>
            <w:r w:rsidRPr="00D5245D">
              <w:rPr>
                <w:rFonts w:ascii="Times New Roman" w:eastAsia="標楷體" w:hAnsi="Times New Roman"/>
                <w:szCs w:val="24"/>
              </w:rPr>
              <w:t>章有關給付結算時點、違約處理等給付結算之規定，於黃金現貨之買賣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準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用之。</w:t>
            </w:r>
          </w:p>
        </w:tc>
        <w:tc>
          <w:tcPr>
            <w:tcW w:w="2781" w:type="dxa"/>
            <w:shd w:val="clear" w:color="auto" w:fill="auto"/>
          </w:tcPr>
          <w:p w14:paraId="408ADBFE" w14:textId="77777777" w:rsidR="002A283C" w:rsidRPr="00D5245D" w:rsidRDefault="002A283C" w:rsidP="00EB62A6">
            <w:pPr>
              <w:widowControl/>
              <w:tabs>
                <w:tab w:val="left" w:pos="512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/>
                <w:szCs w:val="24"/>
              </w:rPr>
              <w:t>配合本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中心興櫃股票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買賣辦法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簡化及整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併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章節</w:t>
            </w:r>
            <w:r w:rsidRPr="00D5245D">
              <w:rPr>
                <w:rFonts w:ascii="Times New Roman" w:eastAsia="標楷體" w:hAnsi="Times New Roman"/>
                <w:szCs w:val="24"/>
              </w:rPr>
              <w:t>，修改</w:t>
            </w: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準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用之章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節</w:t>
            </w:r>
            <w:r w:rsidRPr="00D5245D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2A283C" w:rsidRPr="00D5245D" w14:paraId="1008E59B" w14:textId="77777777" w:rsidTr="002A283C">
        <w:tc>
          <w:tcPr>
            <w:tcW w:w="3285" w:type="dxa"/>
            <w:shd w:val="clear" w:color="auto" w:fill="auto"/>
          </w:tcPr>
          <w:p w14:paraId="1E3DFF06" w14:textId="77777777" w:rsidR="002A283C" w:rsidRPr="00D5245D" w:rsidRDefault="002A283C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第五十一條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造市商及證券商買賣黃金現貨應繳納業務服務費，其費率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準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用本中心訂定之「證券商櫃檯買賣業務服務費及設備使用費收費標準」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有關興櫃</w:t>
            </w:r>
            <w:r w:rsidRPr="00D5245D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一般</w:t>
            </w:r>
            <w:proofErr w:type="gramEnd"/>
            <w:r w:rsidRPr="00D5245D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板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股票議價買賣之規定。</w:t>
            </w:r>
          </w:p>
        </w:tc>
        <w:tc>
          <w:tcPr>
            <w:tcW w:w="3285" w:type="dxa"/>
            <w:shd w:val="clear" w:color="auto" w:fill="auto"/>
          </w:tcPr>
          <w:p w14:paraId="4B6D4C8A" w14:textId="77777777" w:rsidR="002A283C" w:rsidRPr="00D5245D" w:rsidRDefault="002A283C" w:rsidP="00EB6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5245D">
              <w:rPr>
                <w:rFonts w:ascii="Times New Roman" w:eastAsia="標楷體" w:hAnsi="Times New Roman" w:hint="eastAsia"/>
                <w:szCs w:val="24"/>
              </w:rPr>
              <w:t>第五十一條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造市商及證券商買賣黃金現貨應繳納業務服務費，其費率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準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用本中心訂定之「證券商櫃檯買賣業務服務費及設備使用費收費標準」</w:t>
            </w:r>
            <w:proofErr w:type="gramStart"/>
            <w:r w:rsidRPr="00D5245D">
              <w:rPr>
                <w:rFonts w:ascii="Times New Roman" w:eastAsia="標楷體" w:hAnsi="Times New Roman" w:hint="eastAsia"/>
                <w:szCs w:val="24"/>
              </w:rPr>
              <w:t>有關興櫃股票</w:t>
            </w:r>
            <w:proofErr w:type="gramEnd"/>
            <w:r w:rsidRPr="00D5245D">
              <w:rPr>
                <w:rFonts w:ascii="Times New Roman" w:eastAsia="標楷體" w:hAnsi="Times New Roman" w:hint="eastAsia"/>
                <w:szCs w:val="24"/>
              </w:rPr>
              <w:t>議價買賣之規定。</w:t>
            </w:r>
          </w:p>
        </w:tc>
        <w:tc>
          <w:tcPr>
            <w:tcW w:w="2781" w:type="dxa"/>
            <w:shd w:val="clear" w:color="auto" w:fill="auto"/>
          </w:tcPr>
          <w:p w14:paraId="3B1E2F49" w14:textId="77777777" w:rsidR="002A283C" w:rsidRPr="00D5245D" w:rsidRDefault="002A283C" w:rsidP="00EB62A6">
            <w:pPr>
              <w:widowControl/>
              <w:tabs>
                <w:tab w:val="left" w:pos="512"/>
                <w:tab w:val="left" w:pos="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0" w:firstLine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proofErr w:type="gramStart"/>
            <w:r w:rsidRPr="00D5245D">
              <w:rPr>
                <w:rFonts w:ascii="Times New Roman" w:eastAsia="標楷體" w:hAnsi="Times New Roman"/>
                <w:szCs w:val="24"/>
              </w:rPr>
              <w:t>酌作文字</w:t>
            </w:r>
            <w:proofErr w:type="gramEnd"/>
            <w:r w:rsidRPr="00D5245D">
              <w:rPr>
                <w:rFonts w:ascii="Times New Roman" w:eastAsia="標楷體" w:hAnsi="Times New Roman"/>
                <w:szCs w:val="24"/>
              </w:rPr>
              <w:t>修正</w:t>
            </w:r>
            <w:r w:rsidRPr="00D5245D">
              <w:rPr>
                <w:rFonts w:ascii="Times New Roman" w:eastAsia="標楷體" w:hAnsi="Times New Roman" w:hint="eastAsia"/>
                <w:szCs w:val="24"/>
              </w:rPr>
              <w:t>，以資明確。</w:t>
            </w:r>
          </w:p>
        </w:tc>
      </w:tr>
    </w:tbl>
    <w:p w14:paraId="405D15DE" w14:textId="77777777" w:rsidR="002A283C" w:rsidRDefault="002A283C" w:rsidP="002A283C">
      <w:pPr>
        <w:ind w:firstLine="320"/>
        <w:rPr>
          <w:rFonts w:ascii="Times New Roman" w:eastAsia="標楷體" w:hAnsi="Times New Roman"/>
          <w:b/>
          <w:bCs/>
          <w:kern w:val="52"/>
          <w:sz w:val="32"/>
          <w:szCs w:val="32"/>
        </w:rPr>
      </w:pPr>
    </w:p>
    <w:p w14:paraId="3150DA49" w14:textId="1B629672" w:rsidR="005D2E78" w:rsidRDefault="002A283C" w:rsidP="002A283C">
      <w:pPr>
        <w:ind w:firstLine="240"/>
      </w:pPr>
    </w:p>
    <w:sectPr w:rsidR="005D2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3C"/>
    <w:rsid w:val="001A2EB2"/>
    <w:rsid w:val="002A283C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38B0"/>
  <w15:chartTrackingRefBased/>
  <w15:docId w15:val="{1A853BA9-E724-44F5-BA78-EF260ADD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83C"/>
    <w:pPr>
      <w:widowControl w:val="0"/>
      <w:spacing w:line="480" w:lineRule="exact"/>
      <w:ind w:firstLineChars="100" w:firstLine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陳怡伶</dc:creator>
  <cp:keywords/>
  <dc:description/>
  <cp:lastModifiedBy>陳怡伶</cp:lastModifiedBy>
  <cp:revision>1</cp:revision>
  <dcterms:created xsi:type="dcterms:W3CDTF">2021-03-30T10:26:00Z</dcterms:created>
  <dcterms:modified xsi:type="dcterms:W3CDTF">2021-03-30T10:27:00Z</dcterms:modified>
</cp:coreProperties>
</file>